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0" w:type="dxa"/>
        <w:tblInd w:w="260" w:type="dxa"/>
        <w:tblLayout w:type="fixed"/>
        <w:tblCellMar>
          <w:left w:w="10" w:type="dxa"/>
          <w:right w:w="10" w:type="dxa"/>
        </w:tblCellMar>
        <w:tblLook w:val="04A0"/>
      </w:tblPr>
      <w:tblGrid>
        <w:gridCol w:w="2700"/>
        <w:gridCol w:w="6960"/>
      </w:tblGrid>
      <w:tr w:rsidR="0017326B" w:rsidTr="0017326B">
        <w:tblPrEx>
          <w:tblCellMar>
            <w:top w:w="0" w:type="dxa"/>
            <w:bottom w:w="0" w:type="dxa"/>
          </w:tblCellMar>
        </w:tblPrEx>
        <w:tc>
          <w:tcPr>
            <w:tcW w:w="2700" w:type="dxa"/>
            <w:tcBorders>
              <w:top w:val="single" w:sz="2" w:space="0" w:color="000000"/>
              <w:left w:val="single" w:sz="2" w:space="0" w:color="000000"/>
              <w:bottom w:val="single" w:sz="2" w:space="0" w:color="000000"/>
            </w:tcBorders>
            <w:tcMar>
              <w:top w:w="55" w:type="dxa"/>
              <w:left w:w="55" w:type="dxa"/>
              <w:bottom w:w="55" w:type="dxa"/>
              <w:right w:w="55" w:type="dxa"/>
            </w:tcMar>
          </w:tcPr>
          <w:p w:rsidR="0017326B" w:rsidRDefault="00EF76AE">
            <w:pPr>
              <w:pStyle w:val="TableContents"/>
            </w:pPr>
            <w:r>
              <w:t xml:space="preserve"> </w:t>
            </w:r>
            <w:r w:rsidR="003C0EE0">
              <w:rPr>
                <w:noProof/>
              </w:rPr>
              <w:drawing>
                <wp:inline distT="0" distB="0" distL="0" distR="0">
                  <wp:extent cx="871268" cy="1054906"/>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71399" cy="1055065"/>
                          </a:xfrm>
                          <a:prstGeom prst="rect">
                            <a:avLst/>
                          </a:prstGeom>
                          <a:noFill/>
                          <a:ln w="9525">
                            <a:noFill/>
                            <a:miter lim="800000"/>
                            <a:headEnd/>
                            <a:tailEnd/>
                          </a:ln>
                        </pic:spPr>
                      </pic:pic>
                    </a:graphicData>
                  </a:graphic>
                </wp:inline>
              </w:drawing>
            </w:r>
          </w:p>
        </w:tc>
        <w:tc>
          <w:tcPr>
            <w:tcW w:w="696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7326B" w:rsidRDefault="00EF76AE">
            <w:pPr>
              <w:pStyle w:val="Standard"/>
              <w:tabs>
                <w:tab w:val="left" w:pos="623"/>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85"/>
              <w:jc w:val="center"/>
              <w:rPr>
                <w:rFonts w:ascii="Arial" w:hAnsi="Arial"/>
                <w:sz w:val="44"/>
                <w:szCs w:val="44"/>
              </w:rPr>
            </w:pPr>
            <w:r>
              <w:rPr>
                <w:rFonts w:ascii="Arial" w:hAnsi="Arial"/>
                <w:sz w:val="44"/>
                <w:szCs w:val="44"/>
              </w:rPr>
              <w:t>Charte entre les déchargés</w:t>
            </w:r>
          </w:p>
          <w:p w:rsidR="0017326B" w:rsidRDefault="00EF76AE">
            <w:pPr>
              <w:pStyle w:val="Standard"/>
              <w:tabs>
                <w:tab w:val="left" w:pos="623"/>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85"/>
              <w:jc w:val="center"/>
              <w:rPr>
                <w:rFonts w:ascii="Arial" w:hAnsi="Arial"/>
                <w:sz w:val="44"/>
                <w:szCs w:val="44"/>
              </w:rPr>
            </w:pPr>
            <w:r>
              <w:rPr>
                <w:rFonts w:ascii="Arial" w:hAnsi="Arial"/>
                <w:sz w:val="44"/>
                <w:szCs w:val="44"/>
              </w:rPr>
              <w:t>et le syndicat</w:t>
            </w:r>
          </w:p>
        </w:tc>
      </w:tr>
    </w:tbl>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sz w:val="18"/>
          <w:szCs w:val="18"/>
        </w:rPr>
      </w:pPr>
      <w:r>
        <w:rPr>
          <w:rFonts w:ascii="Arial" w:hAnsi="Arial"/>
          <w:b/>
          <w:bCs/>
          <w:sz w:val="18"/>
          <w:szCs w:val="18"/>
        </w:rPr>
        <w:t xml:space="preserve">1. Une charte : </w:t>
      </w:r>
      <w:r>
        <w:rPr>
          <w:rFonts w:ascii="Arial" w:hAnsi="Arial"/>
          <w:sz w:val="18"/>
          <w:szCs w:val="18"/>
        </w:rPr>
        <w:t>Plus qu’une charte contraignante et rigide, le syndicat</w:t>
      </w:r>
      <w:r>
        <w:rPr>
          <w:rFonts w:ascii="Arial" w:hAnsi="Arial"/>
          <w:sz w:val="18"/>
          <w:szCs w:val="18"/>
        </w:rPr>
        <w:t xml:space="preserve"> estime indispensable la transparence absolue des conditions d’activité des déchargés et du remboursement des frais qu'ils engagent.</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1"/>
        <w:rPr>
          <w:sz w:val="18"/>
          <w:szCs w:val="18"/>
        </w:rPr>
      </w:pPr>
      <w:r>
        <w:rPr>
          <w:rFonts w:ascii="Arial" w:hAnsi="Arial"/>
          <w:b/>
          <w:bCs/>
          <w:sz w:val="18"/>
          <w:szCs w:val="18"/>
        </w:rPr>
        <w:t>2. Temps de présence</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0"/>
        <w:rPr>
          <w:rFonts w:ascii="Arial" w:hAnsi="Arial"/>
          <w:sz w:val="18"/>
          <w:szCs w:val="18"/>
        </w:rPr>
      </w:pPr>
      <w:r>
        <w:rPr>
          <w:rFonts w:ascii="Arial" w:hAnsi="Arial"/>
          <w:sz w:val="18"/>
          <w:szCs w:val="18"/>
        </w:rPr>
        <w:t>2.1 La décharge syndicale constitue une compensation pour les militants qui ont accepté des responsabilités que le bénévolat ne suffit pas à prendre en charge dans des conditions efficaces pour l’organisation et compatibles avec la vie personnelle et pro</w:t>
      </w:r>
      <w:r>
        <w:rPr>
          <w:rFonts w:ascii="Arial" w:hAnsi="Arial"/>
          <w:sz w:val="18"/>
          <w:szCs w:val="18"/>
        </w:rPr>
        <w:t>fessionnelle des intéressés.</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0"/>
        <w:rPr>
          <w:rFonts w:ascii="Arial" w:hAnsi="Arial"/>
          <w:sz w:val="18"/>
          <w:szCs w:val="18"/>
        </w:rPr>
      </w:pPr>
      <w:r>
        <w:rPr>
          <w:rFonts w:ascii="Arial" w:hAnsi="Arial"/>
          <w:sz w:val="18"/>
          <w:szCs w:val="18"/>
        </w:rPr>
        <w:t xml:space="preserve">2.2 Elle implique la participation aux actions collectives organisées par le syndicat (réunions de </w:t>
      </w:r>
      <w:r w:rsidR="003C0EE0">
        <w:rPr>
          <w:rFonts w:ascii="Arial" w:hAnsi="Arial"/>
          <w:sz w:val="18"/>
          <w:szCs w:val="18"/>
        </w:rPr>
        <w:t>secteurs, réunions statutaires, manifestations, permanences</w:t>
      </w:r>
      <w:r>
        <w:rPr>
          <w:rFonts w:ascii="Arial" w:hAnsi="Arial"/>
          <w:sz w:val="18"/>
          <w:szCs w:val="18"/>
        </w:rPr>
        <w:t>...)</w:t>
      </w:r>
    </w:p>
    <w:p w:rsidR="0017326B" w:rsidRPr="003C0EE0"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ind w:right="-300"/>
        <w:jc w:val="both"/>
        <w:outlineLvl w:val="0"/>
        <w:rPr>
          <w:rFonts w:ascii="Arial" w:hAnsi="Arial"/>
          <w:bCs/>
          <w:i/>
          <w:sz w:val="18"/>
          <w:szCs w:val="18"/>
        </w:rPr>
      </w:pPr>
      <w:r>
        <w:rPr>
          <w:rFonts w:ascii="Arial" w:hAnsi="Arial"/>
          <w:bCs/>
          <w:sz w:val="18"/>
          <w:szCs w:val="18"/>
        </w:rPr>
        <w:t xml:space="preserve">2.3 Le temps de présence au </w:t>
      </w:r>
      <w:r w:rsidR="003C0EE0">
        <w:rPr>
          <w:rFonts w:ascii="Arial" w:hAnsi="Arial"/>
          <w:bCs/>
          <w:sz w:val="18"/>
          <w:szCs w:val="18"/>
        </w:rPr>
        <w:t>local syndical</w:t>
      </w:r>
      <w:r>
        <w:rPr>
          <w:rFonts w:ascii="Arial" w:hAnsi="Arial"/>
          <w:bCs/>
          <w:sz w:val="18"/>
          <w:szCs w:val="18"/>
        </w:rPr>
        <w:t xml:space="preserve"> est calculé en fonction du pourcentage de </w:t>
      </w:r>
      <w:r>
        <w:rPr>
          <w:rFonts w:ascii="Arial" w:hAnsi="Arial"/>
          <w:bCs/>
          <w:sz w:val="18"/>
          <w:szCs w:val="18"/>
        </w:rPr>
        <w:t xml:space="preserve">décharge octroyé. Du fait que ce temps correspond au service et à la préparation de ce dernier, le temps de présence est fonction de la durée légale du travail (35h et 1607h/an).           </w:t>
      </w:r>
      <w:r w:rsidRPr="003C0EE0">
        <w:rPr>
          <w:rFonts w:ascii="Arial" w:hAnsi="Arial"/>
          <w:bCs/>
          <w:i/>
          <w:sz w:val="18"/>
          <w:szCs w:val="18"/>
          <w:u w:val="single"/>
        </w:rPr>
        <w:t>Exemples :</w:t>
      </w:r>
      <w:r w:rsidRPr="003C0EE0">
        <w:rPr>
          <w:rFonts w:ascii="Arial" w:hAnsi="Arial"/>
          <w:bCs/>
          <w:i/>
          <w:sz w:val="18"/>
          <w:szCs w:val="18"/>
        </w:rPr>
        <w:t xml:space="preserve"> Un PE avec 6h de décharge :</w:t>
      </w:r>
      <w:r w:rsidRPr="003C0EE0">
        <w:rPr>
          <w:rFonts w:ascii="Arial" w:hAnsi="Arial"/>
          <w:bCs/>
          <w:i/>
          <w:sz w:val="18"/>
          <w:szCs w:val="18"/>
        </w:rPr>
        <w:tab/>
      </w:r>
      <w:r w:rsidRPr="003C0EE0">
        <w:rPr>
          <w:rFonts w:ascii="Arial" w:hAnsi="Arial"/>
          <w:bCs/>
          <w:i/>
          <w:sz w:val="18"/>
          <w:szCs w:val="18"/>
        </w:rPr>
        <w:tab/>
      </w:r>
      <w:r w:rsidR="003C0EE0" w:rsidRPr="003C0EE0">
        <w:rPr>
          <w:rFonts w:ascii="Arial" w:hAnsi="Arial"/>
          <w:bCs/>
          <w:i/>
          <w:sz w:val="18"/>
          <w:szCs w:val="18"/>
        </w:rPr>
        <w:t xml:space="preserve">    </w:t>
      </w:r>
      <w:r w:rsidRPr="003C0EE0">
        <w:rPr>
          <w:rFonts w:ascii="Arial" w:hAnsi="Arial"/>
          <w:bCs/>
          <w:i/>
          <w:sz w:val="18"/>
          <w:szCs w:val="18"/>
        </w:rPr>
        <w:t xml:space="preserve">son % de décharge = 6/27 </w:t>
      </w:r>
      <w:r w:rsidRPr="003C0EE0">
        <w:rPr>
          <w:rFonts w:ascii="Arial" w:hAnsi="Arial"/>
          <w:bCs/>
          <w:i/>
          <w:sz w:val="18"/>
          <w:szCs w:val="18"/>
        </w:rPr>
        <w:t>= 22.22 %</w:t>
      </w:r>
    </w:p>
    <w:p w:rsidR="0017326B" w:rsidRPr="003C0EE0" w:rsidRDefault="00EF76AE">
      <w:pPr>
        <w:pStyle w:val="Standard"/>
        <w:tabs>
          <w:tab w:val="left" w:pos="1793"/>
          <w:tab w:val="left" w:pos="2025"/>
          <w:tab w:val="left" w:pos="2501"/>
          <w:tab w:val="left" w:pos="3209"/>
          <w:tab w:val="left" w:pos="3917"/>
          <w:tab w:val="left" w:pos="4625"/>
          <w:tab w:val="left" w:pos="5333"/>
          <w:tab w:val="left" w:pos="6041"/>
          <w:tab w:val="left" w:pos="6749"/>
          <w:tab w:val="left" w:pos="7457"/>
          <w:tab w:val="left" w:pos="8165"/>
          <w:tab w:val="left" w:pos="8873"/>
          <w:tab w:val="left" w:pos="9581"/>
          <w:tab w:val="left" w:pos="10289"/>
          <w:tab w:val="left" w:pos="10997"/>
          <w:tab w:val="left" w:pos="11705"/>
          <w:tab w:val="left" w:pos="12413"/>
          <w:tab w:val="left" w:pos="13121"/>
          <w:tab w:val="left" w:pos="13829"/>
          <w:tab w:val="left" w:pos="14537"/>
          <w:tab w:val="left" w:pos="15245"/>
          <w:tab w:val="left" w:pos="15953"/>
          <w:tab w:val="left" w:pos="16661"/>
          <w:tab w:val="left" w:pos="17369"/>
          <w:tab w:val="left" w:pos="18077"/>
          <w:tab w:val="left" w:pos="18785"/>
          <w:tab w:val="left" w:pos="19493"/>
          <w:tab w:val="left" w:pos="20201"/>
          <w:tab w:val="left" w:pos="20909"/>
          <w:tab w:val="left" w:pos="21617"/>
          <w:tab w:val="left" w:pos="22325"/>
          <w:tab w:val="left" w:pos="23033"/>
          <w:tab w:val="left" w:pos="23741"/>
          <w:tab w:val="left" w:pos="24449"/>
          <w:tab w:val="left" w:pos="25157"/>
          <w:tab w:val="left" w:pos="25865"/>
          <w:tab w:val="left" w:pos="26573"/>
          <w:tab w:val="left" w:pos="27281"/>
          <w:tab w:val="left" w:pos="27989"/>
          <w:tab w:val="left" w:pos="28697"/>
          <w:tab w:val="left" w:pos="29405"/>
        </w:tabs>
        <w:ind w:left="1170" w:right="-300" w:firstLine="1245"/>
        <w:jc w:val="both"/>
        <w:outlineLvl w:val="0"/>
        <w:rPr>
          <w:rFonts w:ascii="Arial" w:hAnsi="Arial"/>
          <w:bCs/>
          <w:i/>
          <w:sz w:val="18"/>
          <w:szCs w:val="18"/>
        </w:rPr>
      </w:pPr>
      <w:r w:rsidRPr="003C0EE0">
        <w:rPr>
          <w:rFonts w:ascii="Arial" w:hAnsi="Arial"/>
          <w:bCs/>
          <w:i/>
          <w:sz w:val="18"/>
          <w:szCs w:val="18"/>
        </w:rPr>
        <w:t xml:space="preserve">                                                </w:t>
      </w:r>
      <w:r w:rsidR="003C0EE0" w:rsidRPr="003C0EE0">
        <w:rPr>
          <w:rFonts w:ascii="Arial" w:hAnsi="Arial"/>
          <w:bCs/>
          <w:i/>
          <w:sz w:val="18"/>
          <w:szCs w:val="18"/>
        </w:rPr>
        <w:t xml:space="preserve">                  </w:t>
      </w:r>
      <w:proofErr w:type="gramStart"/>
      <w:r w:rsidRPr="003C0EE0">
        <w:rPr>
          <w:rFonts w:ascii="Arial" w:hAnsi="Arial"/>
          <w:bCs/>
          <w:i/>
          <w:sz w:val="18"/>
          <w:szCs w:val="18"/>
        </w:rPr>
        <w:t>son</w:t>
      </w:r>
      <w:proofErr w:type="gramEnd"/>
      <w:r w:rsidRPr="003C0EE0">
        <w:rPr>
          <w:rFonts w:ascii="Arial" w:hAnsi="Arial"/>
          <w:bCs/>
          <w:i/>
          <w:sz w:val="18"/>
          <w:szCs w:val="18"/>
        </w:rPr>
        <w:t xml:space="preserve"> temps de présence = 35h x 0.2222 = 7.77h (1 journée)</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0"/>
        <w:rPr>
          <w:rFonts w:ascii="Arial" w:hAnsi="Arial"/>
          <w:bCs/>
          <w:sz w:val="18"/>
          <w:szCs w:val="18"/>
        </w:rPr>
      </w:pPr>
      <w:r>
        <w:rPr>
          <w:rFonts w:ascii="Arial" w:hAnsi="Arial"/>
          <w:bCs/>
          <w:sz w:val="18"/>
          <w:szCs w:val="18"/>
        </w:rPr>
        <w:t xml:space="preserve">2.4 En dehors du temps de décharge, on attend du déchargé un temps militant complémentaire sur son </w:t>
      </w:r>
      <w:r>
        <w:rPr>
          <w:rFonts w:ascii="Arial" w:hAnsi="Arial"/>
          <w:bCs/>
          <w:sz w:val="18"/>
          <w:szCs w:val="18"/>
        </w:rPr>
        <w:t>temps personnel.</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0"/>
        <w:rPr>
          <w:rFonts w:ascii="Arial" w:hAnsi="Arial"/>
          <w:bCs/>
          <w:sz w:val="18"/>
          <w:szCs w:val="18"/>
        </w:rPr>
      </w:pPr>
      <w:r>
        <w:rPr>
          <w:rFonts w:ascii="Arial" w:hAnsi="Arial"/>
          <w:bCs/>
          <w:sz w:val="18"/>
          <w:szCs w:val="18"/>
        </w:rPr>
        <w:t>2.5 Sauf situation exceptionnelle, le syndicat est fermé entre le 14 juillet et le 20 août. Par ailleurs, il est amené à organiser  une veille et un suivi pendant les vacances scolaires. Chaque déchargé est amené à y participer. Cette part</w:t>
      </w:r>
      <w:r>
        <w:rPr>
          <w:rFonts w:ascii="Arial" w:hAnsi="Arial"/>
          <w:bCs/>
          <w:sz w:val="18"/>
          <w:szCs w:val="18"/>
        </w:rPr>
        <w:t>icipation sera négociée selon les situations personnelles et les besoins du syndicat.</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outlineLvl w:val="0"/>
        <w:rPr>
          <w:rFonts w:ascii="Arial" w:hAnsi="Arial"/>
          <w:bCs/>
          <w:sz w:val="18"/>
          <w:szCs w:val="18"/>
        </w:rPr>
      </w:pPr>
      <w:r>
        <w:rPr>
          <w:rFonts w:ascii="Arial" w:hAnsi="Arial"/>
          <w:bCs/>
          <w:sz w:val="18"/>
          <w:szCs w:val="18"/>
        </w:rPr>
        <w:t>2.6 Les temps de déplacement entre le domicile et le lieu d'activité syndicale sont reconnus et autorisent une souplesse horaire.</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rFonts w:ascii="Arial" w:hAnsi="Arial"/>
          <w:b/>
          <w:bCs/>
          <w:sz w:val="18"/>
          <w:szCs w:val="18"/>
        </w:rPr>
      </w:pPr>
      <w:r>
        <w:rPr>
          <w:rFonts w:ascii="Arial" w:hAnsi="Arial"/>
          <w:b/>
          <w:bCs/>
          <w:sz w:val="18"/>
          <w:szCs w:val="18"/>
        </w:rPr>
        <w:t>3. Bilan annuel</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rFonts w:ascii="Arial" w:hAnsi="Arial"/>
          <w:sz w:val="18"/>
          <w:szCs w:val="18"/>
        </w:rPr>
      </w:pPr>
      <w:r>
        <w:rPr>
          <w:rFonts w:ascii="Arial" w:hAnsi="Arial"/>
          <w:sz w:val="18"/>
          <w:szCs w:val="18"/>
        </w:rPr>
        <w:t>Chaque année, le secréta</w:t>
      </w:r>
      <w:r>
        <w:rPr>
          <w:rFonts w:ascii="Arial" w:hAnsi="Arial"/>
          <w:sz w:val="18"/>
          <w:szCs w:val="18"/>
        </w:rPr>
        <w:t>ire général fera un bilan de l'utilisation des décharges. Ce bilan sera présenté en réunion des déchargés. Il aura pour objectif de mettre en avant les points positifs ainsi que les éventuels dysfonctionnements, afin de corriger ces dysfonctionnements en m</w:t>
      </w:r>
      <w:r>
        <w:rPr>
          <w:rFonts w:ascii="Arial" w:hAnsi="Arial"/>
          <w:sz w:val="18"/>
          <w:szCs w:val="18"/>
        </w:rPr>
        <w:t>odifiant soit les priorités soit l'organisation.</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rFonts w:ascii="Arial" w:hAnsi="Arial"/>
          <w:b/>
          <w:bCs/>
          <w:sz w:val="18"/>
          <w:szCs w:val="18"/>
        </w:rPr>
      </w:pPr>
      <w:r>
        <w:rPr>
          <w:rFonts w:ascii="Arial" w:hAnsi="Arial"/>
          <w:b/>
          <w:bCs/>
          <w:sz w:val="18"/>
          <w:szCs w:val="18"/>
        </w:rPr>
        <w:t>4. Remboursement des frais engagés</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rFonts w:ascii="Arial" w:hAnsi="Arial"/>
          <w:sz w:val="18"/>
          <w:szCs w:val="18"/>
        </w:rPr>
      </w:pPr>
      <w:r>
        <w:rPr>
          <w:rFonts w:ascii="Arial" w:hAnsi="Arial"/>
          <w:sz w:val="18"/>
          <w:szCs w:val="18"/>
        </w:rPr>
        <w:t>Les déchargés comme tous militants du syndicat, bénéficient d'un remboursement des frais engagés selon les règles qui suivent.</w:t>
      </w:r>
    </w:p>
    <w:p w:rsidR="0017326B" w:rsidRDefault="00EF76AE">
      <w:pPr>
        <w:pStyle w:val="Standard"/>
        <w:tabs>
          <w:tab w:val="left" w:pos="623"/>
          <w:tab w:val="left" w:pos="855"/>
          <w:tab w:val="left" w:pos="1331"/>
          <w:tab w:val="left" w:pos="2039"/>
          <w:tab w:val="left" w:pos="2747"/>
          <w:tab w:val="left" w:pos="3455"/>
          <w:tab w:val="left" w:pos="4163"/>
          <w:tab w:val="left" w:pos="4871"/>
          <w:tab w:val="left" w:pos="5579"/>
          <w:tab w:val="left" w:pos="6287"/>
          <w:tab w:val="left" w:pos="6995"/>
          <w:tab w:val="left" w:pos="7703"/>
          <w:tab w:val="left" w:pos="8411"/>
          <w:tab w:val="left" w:pos="9119"/>
          <w:tab w:val="left" w:pos="9827"/>
          <w:tab w:val="left" w:pos="10535"/>
          <w:tab w:val="left" w:pos="11243"/>
          <w:tab w:val="left" w:pos="11951"/>
          <w:tab w:val="left" w:pos="12659"/>
          <w:tab w:val="left" w:pos="13367"/>
          <w:tab w:val="left" w:pos="14075"/>
          <w:tab w:val="left" w:pos="14783"/>
          <w:tab w:val="left" w:pos="15491"/>
          <w:tab w:val="left" w:pos="16199"/>
          <w:tab w:val="left" w:pos="16907"/>
          <w:tab w:val="left" w:pos="17615"/>
          <w:tab w:val="left" w:pos="18323"/>
          <w:tab w:val="left" w:pos="19031"/>
          <w:tab w:val="left" w:pos="19739"/>
          <w:tab w:val="left" w:pos="20447"/>
          <w:tab w:val="left" w:pos="21155"/>
          <w:tab w:val="left" w:pos="21863"/>
          <w:tab w:val="left" w:pos="22571"/>
          <w:tab w:val="left" w:pos="23279"/>
          <w:tab w:val="left" w:pos="23987"/>
          <w:tab w:val="left" w:pos="24695"/>
          <w:tab w:val="left" w:pos="25403"/>
          <w:tab w:val="left" w:pos="26111"/>
          <w:tab w:val="left" w:pos="26819"/>
          <w:tab w:val="left" w:pos="27527"/>
          <w:tab w:val="left" w:pos="28235"/>
        </w:tabs>
        <w:spacing w:before="113"/>
        <w:ind w:right="-300"/>
        <w:jc w:val="both"/>
        <w:rPr>
          <w:sz w:val="18"/>
          <w:szCs w:val="18"/>
        </w:rPr>
      </w:pPr>
      <w:r>
        <w:rPr>
          <w:rFonts w:ascii="Arial" w:hAnsi="Arial"/>
          <w:sz w:val="18"/>
          <w:szCs w:val="18"/>
        </w:rPr>
        <w:t xml:space="preserve">4.1 </w:t>
      </w:r>
      <w:r>
        <w:rPr>
          <w:rFonts w:ascii="Arial" w:hAnsi="Arial"/>
          <w:b/>
          <w:sz w:val="18"/>
          <w:szCs w:val="18"/>
        </w:rPr>
        <w:t>Déplacements</w:t>
      </w:r>
    </w:p>
    <w:p w:rsidR="0017326B" w:rsidRDefault="00EF76AE">
      <w:pPr>
        <w:pStyle w:val="Textbodyindent"/>
        <w:tabs>
          <w:tab w:val="left" w:pos="1134"/>
        </w:tabs>
        <w:spacing w:before="113" w:line="200" w:lineRule="atLeast"/>
        <w:ind w:left="0" w:right="-300"/>
        <w:rPr>
          <w:rFonts w:ascii="Arial" w:hAnsi="Arial" w:cs="Times"/>
          <w:sz w:val="18"/>
          <w:szCs w:val="18"/>
        </w:rPr>
      </w:pPr>
      <w:r>
        <w:rPr>
          <w:rFonts w:ascii="Arial" w:hAnsi="Arial" w:cs="Times"/>
          <w:sz w:val="18"/>
          <w:szCs w:val="18"/>
        </w:rPr>
        <w:t xml:space="preserve">4.1.1 Permanences des </w:t>
      </w:r>
      <w:r>
        <w:rPr>
          <w:rFonts w:ascii="Arial" w:hAnsi="Arial" w:cs="Times"/>
          <w:sz w:val="18"/>
          <w:szCs w:val="18"/>
        </w:rPr>
        <w:t>déchargés</w:t>
      </w:r>
    </w:p>
    <w:p w:rsidR="0017326B" w:rsidRDefault="00EF76AE">
      <w:pPr>
        <w:pStyle w:val="Textbodyindent"/>
        <w:spacing w:line="200" w:lineRule="atLeast"/>
        <w:ind w:left="0" w:right="-300"/>
        <w:rPr>
          <w:rFonts w:ascii="Arial" w:hAnsi="Arial" w:cs="Times"/>
          <w:sz w:val="18"/>
          <w:szCs w:val="18"/>
        </w:rPr>
      </w:pPr>
      <w:r>
        <w:rPr>
          <w:rFonts w:ascii="Arial" w:hAnsi="Arial" w:cs="Times"/>
          <w:sz w:val="18"/>
          <w:szCs w:val="18"/>
        </w:rPr>
        <w:t>Les déplacements en train sont intégralement remboursés sur présentation d’un justificatif.</w:t>
      </w: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Les déplacements en tram sont remboursés sur justificatif (uniquement en carnets à raison de 2 par mois maximum).</w:t>
      </w: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 xml:space="preserve">Les places de parking payantes sont </w:t>
      </w:r>
      <w:proofErr w:type="gramStart"/>
      <w:r>
        <w:rPr>
          <w:rFonts w:ascii="Arial" w:hAnsi="Arial" w:cs="Times"/>
          <w:sz w:val="18"/>
          <w:szCs w:val="18"/>
        </w:rPr>
        <w:t>remboursés</w:t>
      </w:r>
      <w:proofErr w:type="gramEnd"/>
      <w:r>
        <w:rPr>
          <w:rFonts w:ascii="Arial" w:hAnsi="Arial" w:cs="Times"/>
          <w:sz w:val="18"/>
          <w:szCs w:val="18"/>
        </w:rPr>
        <w:t xml:space="preserve"> uniquement pour les réunions d’instance.</w:t>
      </w: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Les trajets en véhicules ne sont remboursés que si le trajet en train est impossible et sur la base du forfait kilométrique, adopté par le conseil syndical.</w:t>
      </w:r>
    </w:p>
    <w:p w:rsidR="0017326B" w:rsidRDefault="0017326B">
      <w:pPr>
        <w:pStyle w:val="Textbodyindent"/>
        <w:tabs>
          <w:tab w:val="left" w:pos="1134"/>
        </w:tabs>
        <w:spacing w:line="200" w:lineRule="atLeast"/>
        <w:ind w:left="0" w:right="-300"/>
        <w:rPr>
          <w:rFonts w:ascii="Arial" w:hAnsi="Arial" w:cs="Times"/>
          <w:sz w:val="18"/>
          <w:szCs w:val="18"/>
        </w:rPr>
      </w:pP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4.1.2 Instances</w:t>
      </w: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 xml:space="preserve">Les frais sont pris en charge </w:t>
      </w:r>
      <w:r>
        <w:rPr>
          <w:rFonts w:ascii="Arial" w:hAnsi="Arial" w:cs="Times"/>
          <w:sz w:val="18"/>
          <w:szCs w:val="18"/>
        </w:rPr>
        <w:t>par l’administration pour les titulaires. Les suppléants remplissent une fiche de remboursement de frais (prise en charge par le syndicat)</w:t>
      </w:r>
    </w:p>
    <w:p w:rsidR="0017326B" w:rsidRDefault="0017326B">
      <w:pPr>
        <w:pStyle w:val="Textbodyindent"/>
        <w:tabs>
          <w:tab w:val="left" w:pos="1134"/>
        </w:tabs>
        <w:spacing w:line="200" w:lineRule="atLeast"/>
        <w:ind w:left="0" w:right="-300"/>
        <w:rPr>
          <w:rFonts w:ascii="Arial" w:hAnsi="Arial" w:cs="Times"/>
          <w:sz w:val="18"/>
          <w:szCs w:val="18"/>
        </w:rPr>
      </w:pP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3.1.3</w:t>
      </w:r>
      <w:proofErr w:type="gramStart"/>
      <w:r>
        <w:rPr>
          <w:rFonts w:ascii="Arial" w:hAnsi="Arial" w:cs="Times"/>
          <w:sz w:val="18"/>
          <w:szCs w:val="18"/>
        </w:rPr>
        <w:t>.Formation</w:t>
      </w:r>
      <w:proofErr w:type="gramEnd"/>
      <w:r>
        <w:rPr>
          <w:rFonts w:ascii="Arial" w:hAnsi="Arial" w:cs="Times"/>
          <w:sz w:val="18"/>
          <w:szCs w:val="18"/>
        </w:rPr>
        <w:t xml:space="preserve"> organisée par le Sgen-CFDT Aquitaine ou la fédération (en fonction du lieu)</w:t>
      </w:r>
    </w:p>
    <w:p w:rsidR="0017326B" w:rsidRDefault="00EF76AE">
      <w:pPr>
        <w:pStyle w:val="Textbodyindent"/>
        <w:tabs>
          <w:tab w:val="left" w:pos="1134"/>
        </w:tabs>
        <w:spacing w:line="200" w:lineRule="atLeast"/>
        <w:ind w:left="0" w:right="-300"/>
        <w:rPr>
          <w:rFonts w:ascii="Arial" w:hAnsi="Arial" w:cs="Times"/>
          <w:sz w:val="18"/>
          <w:szCs w:val="18"/>
        </w:rPr>
      </w:pPr>
      <w:r>
        <w:rPr>
          <w:rFonts w:ascii="Arial" w:hAnsi="Arial" w:cs="Times"/>
          <w:sz w:val="18"/>
          <w:szCs w:val="18"/>
        </w:rPr>
        <w:t>Les frais de déplacement</w:t>
      </w:r>
      <w:r>
        <w:rPr>
          <w:rFonts w:ascii="Arial" w:hAnsi="Arial" w:cs="Times"/>
          <w:sz w:val="18"/>
          <w:szCs w:val="18"/>
        </w:rPr>
        <w:t xml:space="preserve"> en train sont remboursés sur justificatif du billet. Si les déplacements en train sont impossibles, les déplacements en véhicule personnel sont remboursés sur la base du forfait kilométrique.</w:t>
      </w:r>
    </w:p>
    <w:p w:rsidR="0017326B" w:rsidRDefault="00EF76AE">
      <w:pPr>
        <w:pStyle w:val="Textbodyindent"/>
        <w:tabs>
          <w:tab w:val="left" w:pos="142"/>
          <w:tab w:val="left" w:pos="284"/>
        </w:tabs>
        <w:spacing w:before="170" w:line="200" w:lineRule="atLeast"/>
        <w:ind w:left="0" w:right="-300"/>
        <w:rPr>
          <w:rFonts w:ascii="Arial" w:hAnsi="Arial" w:cs="Times"/>
          <w:b/>
          <w:sz w:val="18"/>
          <w:szCs w:val="18"/>
        </w:rPr>
      </w:pPr>
      <w:r>
        <w:rPr>
          <w:rFonts w:ascii="Arial" w:hAnsi="Arial" w:cs="Times"/>
          <w:b/>
          <w:sz w:val="18"/>
          <w:szCs w:val="18"/>
        </w:rPr>
        <w:t>4.2.     Repas</w:t>
      </w:r>
    </w:p>
    <w:p w:rsidR="0017326B" w:rsidRDefault="00EF76AE">
      <w:pPr>
        <w:pStyle w:val="Textbodyindent"/>
        <w:tabs>
          <w:tab w:val="left" w:pos="426"/>
          <w:tab w:val="left" w:pos="1920"/>
        </w:tabs>
        <w:spacing w:line="200" w:lineRule="atLeast"/>
        <w:ind w:left="0" w:right="-300"/>
        <w:rPr>
          <w:rFonts w:ascii="Arial" w:hAnsi="Arial" w:cs="Times"/>
          <w:sz w:val="18"/>
          <w:szCs w:val="18"/>
        </w:rPr>
      </w:pPr>
      <w:r>
        <w:rPr>
          <w:rFonts w:ascii="Arial" w:hAnsi="Arial" w:cs="Times"/>
          <w:sz w:val="18"/>
          <w:szCs w:val="18"/>
        </w:rPr>
        <w:t xml:space="preserve">   </w:t>
      </w:r>
      <w:r>
        <w:rPr>
          <w:rFonts w:ascii="Arial" w:hAnsi="Arial" w:cs="Times"/>
          <w:sz w:val="18"/>
          <w:szCs w:val="18"/>
        </w:rPr>
        <w:tab/>
      </w:r>
      <w:r>
        <w:rPr>
          <w:rFonts w:ascii="Arial" w:hAnsi="Arial" w:cs="Times"/>
          <w:sz w:val="18"/>
          <w:szCs w:val="18"/>
        </w:rPr>
        <w:tab/>
      </w:r>
    </w:p>
    <w:p w:rsidR="0017326B" w:rsidRDefault="00EF76AE">
      <w:pPr>
        <w:pStyle w:val="Textbodyindent"/>
        <w:tabs>
          <w:tab w:val="left" w:pos="426"/>
        </w:tabs>
        <w:spacing w:line="200" w:lineRule="atLeast"/>
        <w:ind w:left="0" w:right="-300"/>
        <w:rPr>
          <w:rFonts w:ascii="Arial" w:hAnsi="Arial" w:cs="Times"/>
          <w:sz w:val="18"/>
          <w:szCs w:val="18"/>
        </w:rPr>
      </w:pPr>
      <w:r>
        <w:rPr>
          <w:rFonts w:ascii="Arial" w:hAnsi="Arial" w:cs="Arial"/>
          <w:sz w:val="20"/>
          <w:szCs w:val="18"/>
        </w:rPr>
        <w:t xml:space="preserve">4.2.1. </w:t>
      </w:r>
      <w:r>
        <w:rPr>
          <w:rFonts w:ascii="Arial" w:hAnsi="Arial" w:cs="Times"/>
          <w:sz w:val="18"/>
          <w:szCs w:val="18"/>
        </w:rPr>
        <w:t>Instances</w:t>
      </w:r>
    </w:p>
    <w:p w:rsidR="0017326B" w:rsidRDefault="00EF76AE">
      <w:pPr>
        <w:pStyle w:val="Textbodyindent"/>
        <w:tabs>
          <w:tab w:val="left" w:pos="426"/>
          <w:tab w:val="left" w:pos="1134"/>
        </w:tabs>
        <w:spacing w:line="200" w:lineRule="atLeast"/>
        <w:ind w:left="0" w:right="-300"/>
        <w:rPr>
          <w:rFonts w:ascii="Arial" w:hAnsi="Arial" w:cs="Times"/>
          <w:sz w:val="18"/>
          <w:szCs w:val="18"/>
        </w:rPr>
      </w:pPr>
      <w:r>
        <w:rPr>
          <w:rFonts w:ascii="Arial" w:hAnsi="Arial" w:cs="Times"/>
          <w:sz w:val="18"/>
          <w:szCs w:val="18"/>
        </w:rPr>
        <w:t>Les frais sont pris en ch</w:t>
      </w:r>
      <w:r>
        <w:rPr>
          <w:rFonts w:ascii="Arial" w:hAnsi="Arial" w:cs="Times"/>
          <w:sz w:val="18"/>
          <w:szCs w:val="18"/>
        </w:rPr>
        <w:t>arge par l’administration pour les titulaires si la réunion est prévue pour la journée. Les suppléants remplissent une fiche de remboursement de frais (remboursement plafonné selon les critères adoptés par le conseil syndical)</w:t>
      </w:r>
    </w:p>
    <w:p w:rsidR="0017326B" w:rsidRDefault="00EF76AE">
      <w:pPr>
        <w:pStyle w:val="Textbodyindent"/>
        <w:tabs>
          <w:tab w:val="left" w:pos="426"/>
        </w:tabs>
        <w:spacing w:line="200" w:lineRule="atLeast"/>
        <w:ind w:left="0" w:right="-300"/>
        <w:rPr>
          <w:rFonts w:ascii="Arial" w:hAnsi="Arial" w:cs="Times"/>
          <w:sz w:val="18"/>
          <w:szCs w:val="18"/>
        </w:rPr>
      </w:pPr>
      <w:r>
        <w:rPr>
          <w:rFonts w:ascii="Arial" w:hAnsi="Arial" w:cs="Times"/>
          <w:sz w:val="18"/>
          <w:szCs w:val="18"/>
        </w:rPr>
        <w:tab/>
      </w:r>
    </w:p>
    <w:p w:rsidR="0017326B" w:rsidRDefault="00EF76AE">
      <w:pPr>
        <w:pStyle w:val="Textbodyindent"/>
        <w:tabs>
          <w:tab w:val="left" w:pos="426"/>
        </w:tabs>
        <w:spacing w:line="200" w:lineRule="atLeast"/>
        <w:ind w:left="0" w:right="-300"/>
        <w:rPr>
          <w:rFonts w:ascii="Arial" w:hAnsi="Arial" w:cs="Times"/>
          <w:sz w:val="18"/>
          <w:szCs w:val="18"/>
        </w:rPr>
      </w:pPr>
      <w:r>
        <w:rPr>
          <w:rFonts w:ascii="Arial" w:hAnsi="Arial" w:cs="Times"/>
          <w:sz w:val="18"/>
          <w:szCs w:val="18"/>
        </w:rPr>
        <w:t>4.2.2. Formation</w:t>
      </w:r>
    </w:p>
    <w:p w:rsidR="0017326B" w:rsidRDefault="00EF76AE">
      <w:pPr>
        <w:pStyle w:val="Textbodyindent"/>
        <w:tabs>
          <w:tab w:val="left" w:pos="426"/>
        </w:tabs>
        <w:spacing w:line="200" w:lineRule="atLeast"/>
        <w:ind w:left="0" w:right="-300"/>
        <w:rPr>
          <w:rFonts w:ascii="Arial" w:hAnsi="Arial" w:cs="Times"/>
          <w:sz w:val="18"/>
          <w:szCs w:val="18"/>
        </w:rPr>
      </w:pPr>
      <w:r>
        <w:rPr>
          <w:rFonts w:ascii="Arial" w:hAnsi="Arial" w:cs="Times"/>
          <w:sz w:val="18"/>
          <w:szCs w:val="18"/>
        </w:rPr>
        <w:t>Une partic</w:t>
      </w:r>
      <w:r>
        <w:rPr>
          <w:rFonts w:ascii="Arial" w:hAnsi="Arial" w:cs="Times"/>
          <w:sz w:val="18"/>
          <w:szCs w:val="18"/>
        </w:rPr>
        <w:t>ipation est demandée aux adhérents.</w:t>
      </w:r>
    </w:p>
    <w:p w:rsidR="0017326B" w:rsidRDefault="0017326B">
      <w:pPr>
        <w:pStyle w:val="Textbodyindent"/>
        <w:tabs>
          <w:tab w:val="left" w:pos="1134"/>
        </w:tabs>
        <w:spacing w:line="200" w:lineRule="atLeast"/>
        <w:ind w:left="0" w:right="-300"/>
        <w:rPr>
          <w:rFonts w:ascii="Arial" w:hAnsi="Arial" w:cs="Times"/>
          <w:sz w:val="18"/>
          <w:szCs w:val="18"/>
        </w:rPr>
      </w:pPr>
    </w:p>
    <w:p w:rsidR="0017326B" w:rsidRDefault="00EF76AE">
      <w:pPr>
        <w:pStyle w:val="Textbodyindent"/>
        <w:tabs>
          <w:tab w:val="left" w:pos="142"/>
          <w:tab w:val="left" w:pos="284"/>
        </w:tabs>
        <w:spacing w:line="200" w:lineRule="atLeast"/>
        <w:ind w:left="0" w:right="-300"/>
        <w:rPr>
          <w:rFonts w:ascii="Arial" w:hAnsi="Arial" w:cs="Times"/>
          <w:b/>
          <w:sz w:val="18"/>
          <w:szCs w:val="18"/>
        </w:rPr>
      </w:pPr>
      <w:r>
        <w:rPr>
          <w:rFonts w:ascii="Arial" w:hAnsi="Arial" w:cs="Times"/>
          <w:b/>
          <w:sz w:val="18"/>
          <w:szCs w:val="18"/>
        </w:rPr>
        <w:t>4.3. Frais de matériel administratif</w:t>
      </w:r>
    </w:p>
    <w:p w:rsidR="0017326B" w:rsidRDefault="00EF76AE">
      <w:pPr>
        <w:pStyle w:val="Textbodyindent"/>
        <w:tabs>
          <w:tab w:val="left" w:pos="142"/>
          <w:tab w:val="left" w:pos="284"/>
        </w:tabs>
        <w:spacing w:before="170" w:line="200" w:lineRule="atLeast"/>
        <w:ind w:left="0" w:right="-300"/>
        <w:rPr>
          <w:rFonts w:ascii="Arial" w:hAnsi="Arial" w:cs="Times"/>
          <w:sz w:val="18"/>
          <w:szCs w:val="18"/>
        </w:rPr>
      </w:pPr>
      <w:r>
        <w:rPr>
          <w:rFonts w:ascii="Arial" w:hAnsi="Arial" w:cs="Times"/>
          <w:sz w:val="18"/>
          <w:szCs w:val="18"/>
        </w:rPr>
        <w:t xml:space="preserve">Ils ne sont remboursés qu'à titre exceptionnel, si la procédure classique qui consiste à inscrire les achats souhaités dans le cahier des achats n'a pu être suivie. Pour qu'ils </w:t>
      </w:r>
      <w:r>
        <w:rPr>
          <w:rFonts w:ascii="Arial" w:hAnsi="Arial" w:cs="Times"/>
          <w:sz w:val="18"/>
          <w:szCs w:val="18"/>
        </w:rPr>
        <w:t>soient remboursés, ces frais engagés par le militant doivent apparaître sur la fiche spécifique avec une facture au nom du Sgen-CFDT Aquitaine et avec la présence de justificatif.</w:t>
      </w:r>
    </w:p>
    <w:p w:rsidR="0017326B" w:rsidRDefault="00EF76AE">
      <w:pPr>
        <w:pStyle w:val="Textbodyindent"/>
        <w:tabs>
          <w:tab w:val="left" w:pos="142"/>
          <w:tab w:val="left" w:pos="284"/>
        </w:tabs>
        <w:spacing w:before="170" w:line="200" w:lineRule="atLeast"/>
        <w:ind w:left="0" w:right="-300"/>
        <w:rPr>
          <w:rFonts w:ascii="Arial" w:hAnsi="Arial" w:cs="Times"/>
          <w:sz w:val="18"/>
          <w:szCs w:val="18"/>
        </w:rPr>
      </w:pPr>
      <w:r>
        <w:rPr>
          <w:rFonts w:ascii="Arial" w:hAnsi="Arial" w:cs="Times"/>
          <w:sz w:val="18"/>
          <w:szCs w:val="18"/>
        </w:rPr>
        <w:t>A Bordeaux, le 25 août 2014</w:t>
      </w:r>
      <w:r>
        <w:rPr>
          <w:rFonts w:ascii="Arial" w:hAnsi="Arial" w:cs="Times"/>
          <w:sz w:val="18"/>
          <w:szCs w:val="18"/>
        </w:rPr>
        <w:tab/>
      </w:r>
      <w:r>
        <w:rPr>
          <w:rFonts w:ascii="Arial" w:hAnsi="Arial" w:cs="Times"/>
          <w:sz w:val="18"/>
          <w:szCs w:val="18"/>
        </w:rPr>
        <w:tab/>
      </w:r>
      <w:r>
        <w:rPr>
          <w:rFonts w:ascii="Arial" w:hAnsi="Arial" w:cs="Times"/>
          <w:sz w:val="18"/>
          <w:szCs w:val="18"/>
        </w:rPr>
        <w:tab/>
      </w:r>
      <w:r>
        <w:rPr>
          <w:rFonts w:ascii="Arial" w:hAnsi="Arial" w:cs="Times"/>
          <w:sz w:val="18"/>
          <w:szCs w:val="18"/>
        </w:rPr>
        <w:tab/>
      </w:r>
      <w:r>
        <w:rPr>
          <w:rFonts w:ascii="Arial" w:hAnsi="Arial" w:cs="Times"/>
          <w:sz w:val="18"/>
          <w:szCs w:val="18"/>
        </w:rPr>
        <w:tab/>
        <w:t>Signature du déchargé</w:t>
      </w:r>
    </w:p>
    <w:tbl>
      <w:tblPr>
        <w:tblW w:w="9525" w:type="dxa"/>
        <w:tblInd w:w="588" w:type="dxa"/>
        <w:tblLayout w:type="fixed"/>
        <w:tblCellMar>
          <w:left w:w="10" w:type="dxa"/>
          <w:right w:w="10" w:type="dxa"/>
        </w:tblCellMar>
        <w:tblLook w:val="04A0"/>
      </w:tblPr>
      <w:tblGrid>
        <w:gridCol w:w="2525"/>
        <w:gridCol w:w="7000"/>
      </w:tblGrid>
      <w:tr w:rsidR="0017326B" w:rsidTr="0017326B">
        <w:tblPrEx>
          <w:tblCellMar>
            <w:top w:w="0" w:type="dxa"/>
            <w:bottom w:w="0" w:type="dxa"/>
          </w:tblCellMar>
        </w:tblPrEx>
        <w:tc>
          <w:tcPr>
            <w:tcW w:w="2525" w:type="dxa"/>
            <w:tcBorders>
              <w:top w:val="double" w:sz="2" w:space="0" w:color="000000"/>
              <w:left w:val="double" w:sz="2" w:space="0" w:color="000000"/>
              <w:bottom w:val="double" w:sz="2" w:space="0" w:color="000000"/>
            </w:tcBorders>
            <w:tcMar>
              <w:top w:w="55" w:type="dxa"/>
              <w:left w:w="55" w:type="dxa"/>
              <w:bottom w:w="55" w:type="dxa"/>
              <w:right w:w="55" w:type="dxa"/>
            </w:tcMar>
          </w:tcPr>
          <w:p w:rsidR="0017326B" w:rsidRDefault="003C0EE0">
            <w:pPr>
              <w:pStyle w:val="TableContents"/>
              <w:jc w:val="center"/>
              <w:rPr>
                <w:rFonts w:ascii="Arial Black" w:hAnsi="Arial Black"/>
                <w:sz w:val="28"/>
                <w:szCs w:val="28"/>
              </w:rPr>
            </w:pPr>
            <w:r>
              <w:rPr>
                <w:rFonts w:ascii="Arial Black" w:hAnsi="Arial Black"/>
                <w:noProof/>
                <w:sz w:val="28"/>
                <w:szCs w:val="28"/>
              </w:rPr>
              <w:lastRenderedPageBreak/>
              <w:drawing>
                <wp:inline distT="0" distB="0" distL="0" distR="0">
                  <wp:extent cx="819509" cy="990566"/>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819670" cy="990761"/>
                          </a:xfrm>
                          <a:prstGeom prst="rect">
                            <a:avLst/>
                          </a:prstGeom>
                          <a:noFill/>
                          <a:ln w="9525">
                            <a:noFill/>
                            <a:miter lim="800000"/>
                            <a:headEnd/>
                            <a:tailEnd/>
                          </a:ln>
                        </pic:spPr>
                      </pic:pic>
                    </a:graphicData>
                  </a:graphic>
                </wp:inline>
              </w:drawing>
            </w:r>
          </w:p>
        </w:tc>
        <w:tc>
          <w:tcPr>
            <w:tcW w:w="7000" w:type="dxa"/>
            <w:tcBorders>
              <w:top w:val="double" w:sz="2" w:space="0" w:color="000000"/>
              <w:left w:val="double" w:sz="2" w:space="0" w:color="000000"/>
              <w:bottom w:val="double" w:sz="2" w:space="0" w:color="000000"/>
              <w:right w:val="double" w:sz="2" w:space="0" w:color="000000"/>
            </w:tcBorders>
            <w:tcMar>
              <w:top w:w="55" w:type="dxa"/>
              <w:left w:w="55" w:type="dxa"/>
              <w:bottom w:w="55" w:type="dxa"/>
              <w:right w:w="55" w:type="dxa"/>
            </w:tcMar>
          </w:tcPr>
          <w:p w:rsidR="0017326B" w:rsidRDefault="00EF76AE">
            <w:pPr>
              <w:pStyle w:val="TableContents"/>
              <w:jc w:val="center"/>
              <w:rPr>
                <w:rFonts w:ascii="Arial Black" w:hAnsi="Arial Black"/>
                <w:sz w:val="28"/>
                <w:szCs w:val="28"/>
              </w:rPr>
            </w:pPr>
            <w:r>
              <w:rPr>
                <w:rFonts w:ascii="Arial Black" w:hAnsi="Arial Black"/>
                <w:sz w:val="28"/>
                <w:szCs w:val="28"/>
              </w:rPr>
              <w:t>Lettre d'engageme</w:t>
            </w:r>
            <w:r>
              <w:rPr>
                <w:rFonts w:ascii="Arial Black" w:hAnsi="Arial Black"/>
                <w:sz w:val="28"/>
                <w:szCs w:val="28"/>
              </w:rPr>
              <w:t>nt du militant déchargé</w:t>
            </w:r>
          </w:p>
          <w:p w:rsidR="0017326B" w:rsidRDefault="00EF76AE">
            <w:pPr>
              <w:pStyle w:val="TableContents"/>
              <w:jc w:val="center"/>
              <w:rPr>
                <w:rFonts w:ascii="Arial Black" w:hAnsi="Arial Black"/>
                <w:sz w:val="28"/>
                <w:szCs w:val="28"/>
              </w:rPr>
            </w:pPr>
            <w:r>
              <w:rPr>
                <w:rFonts w:ascii="Arial Black" w:hAnsi="Arial Black"/>
                <w:sz w:val="28"/>
                <w:szCs w:val="28"/>
              </w:rPr>
              <w:t>Sgen-CFDT Aquitaine 2014-2015</w:t>
            </w:r>
          </w:p>
        </w:tc>
      </w:tr>
    </w:tbl>
    <w:p w:rsidR="0017326B" w:rsidRDefault="00EF76AE">
      <w:pPr>
        <w:pStyle w:val="Heading3"/>
        <w:rPr>
          <w:rFonts w:ascii="Arial" w:hAnsi="Arial"/>
          <w:sz w:val="32"/>
          <w:szCs w:val="32"/>
        </w:rPr>
      </w:pPr>
      <w:r>
        <w:rPr>
          <w:rFonts w:ascii="Arial" w:hAnsi="Arial"/>
          <w:sz w:val="32"/>
          <w:szCs w:val="32"/>
        </w:rPr>
        <w:t>NOM :                                               Prénom :                                        </w:t>
      </w:r>
    </w:p>
    <w:p w:rsidR="0017326B" w:rsidRDefault="00EF76AE">
      <w:pPr>
        <w:pStyle w:val="Textbody"/>
        <w:spacing w:after="283"/>
        <w:ind w:left="0" w:right="0"/>
        <w:rPr>
          <w:rFonts w:ascii="Arial" w:hAnsi="Arial"/>
          <w:sz w:val="24"/>
          <w:szCs w:val="24"/>
        </w:rPr>
      </w:pPr>
      <w:r>
        <w:rPr>
          <w:rFonts w:ascii="Arial" w:hAnsi="Arial"/>
          <w:sz w:val="24"/>
          <w:szCs w:val="24"/>
        </w:rPr>
        <w:t xml:space="preserve">Quotité de décharge attribuée :           Part fédérale éventuelle :            Equivaut à  </w:t>
      </w:r>
      <w:r w:rsidR="003C0EE0">
        <w:rPr>
          <w:rFonts w:ascii="Arial" w:hAnsi="Arial"/>
          <w:sz w:val="24"/>
          <w:szCs w:val="24"/>
        </w:rPr>
        <w:t>      /</w:t>
      </w:r>
      <w:r>
        <w:rPr>
          <w:rFonts w:ascii="Arial" w:hAnsi="Arial"/>
          <w:sz w:val="24"/>
          <w:szCs w:val="24"/>
        </w:rPr>
        <w:t>35</w:t>
      </w:r>
      <w:r>
        <w:rPr>
          <w:rFonts w:ascii="Arial" w:hAnsi="Arial"/>
          <w:sz w:val="24"/>
          <w:szCs w:val="24"/>
          <w:vertAlign w:val="superscript"/>
        </w:rPr>
        <w:t>èmes</w:t>
      </w:r>
    </w:p>
    <w:tbl>
      <w:tblPr>
        <w:tblW w:w="10187" w:type="dxa"/>
        <w:tblInd w:w="45" w:type="dxa"/>
        <w:tblLayout w:type="fixed"/>
        <w:tblCellMar>
          <w:left w:w="10" w:type="dxa"/>
          <w:right w:w="10" w:type="dxa"/>
        </w:tblCellMar>
        <w:tblLook w:val="04A0"/>
      </w:tblPr>
      <w:tblGrid>
        <w:gridCol w:w="2775"/>
        <w:gridCol w:w="1364"/>
        <w:gridCol w:w="1364"/>
        <w:gridCol w:w="4684"/>
      </w:tblGrid>
      <w:tr w:rsidR="0017326B" w:rsidTr="0017326B">
        <w:tblPrEx>
          <w:tblCellMar>
            <w:top w:w="0" w:type="dxa"/>
            <w:bottom w:w="0" w:type="dxa"/>
          </w:tblCellMar>
        </w:tblPrEx>
        <w:tc>
          <w:tcPr>
            <w:tcW w:w="2775" w:type="dxa"/>
            <w:tcBorders>
              <w:top w:val="single" w:sz="2" w:space="0" w:color="000000"/>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rPr>
                <w:rFonts w:ascii="Arial" w:hAnsi="Arial"/>
                <w:b/>
                <w:bCs/>
                <w:szCs w:val="24"/>
              </w:rPr>
            </w:pPr>
            <w:r>
              <w:rPr>
                <w:rFonts w:ascii="Arial" w:hAnsi="Arial"/>
                <w:b/>
                <w:bCs/>
                <w:szCs w:val="24"/>
              </w:rPr>
              <w:t>Jour(s) de disponibilité pour le syndicat</w:t>
            </w:r>
          </w:p>
        </w:tc>
        <w:tc>
          <w:tcPr>
            <w:tcW w:w="1364" w:type="dxa"/>
            <w:tcBorders>
              <w:top w:val="single" w:sz="2" w:space="0" w:color="000000"/>
              <w:left w:val="single" w:sz="2" w:space="0" w:color="000000"/>
              <w:bottom w:val="single" w:sz="2" w:space="0" w:color="000000"/>
            </w:tcBorders>
            <w:shd w:val="clear" w:color="auto" w:fill="E6E6E6"/>
            <w:tcMar>
              <w:top w:w="55" w:type="dxa"/>
              <w:left w:w="55" w:type="dxa"/>
              <w:bottom w:w="55" w:type="dxa"/>
              <w:right w:w="55" w:type="dxa"/>
            </w:tcMar>
            <w:vAlign w:val="center"/>
          </w:tcPr>
          <w:p w:rsidR="0017326B" w:rsidRDefault="00EF76AE">
            <w:pPr>
              <w:pStyle w:val="TableContents"/>
              <w:jc w:val="center"/>
              <w:rPr>
                <w:rFonts w:ascii="Arial" w:hAnsi="Arial"/>
                <w:b/>
                <w:bCs/>
              </w:rPr>
            </w:pPr>
            <w:r>
              <w:rPr>
                <w:rFonts w:ascii="Arial" w:hAnsi="Arial"/>
                <w:b/>
                <w:bCs/>
              </w:rPr>
              <w:t>Matin</w:t>
            </w:r>
          </w:p>
        </w:tc>
        <w:tc>
          <w:tcPr>
            <w:tcW w:w="1364" w:type="dxa"/>
            <w:tcBorders>
              <w:top w:val="single" w:sz="2" w:space="0" w:color="000000"/>
              <w:left w:val="single" w:sz="2" w:space="0" w:color="000000"/>
              <w:bottom w:val="single" w:sz="2" w:space="0" w:color="000000"/>
              <w:right w:val="single" w:sz="2" w:space="0" w:color="000000"/>
            </w:tcBorders>
            <w:shd w:val="clear" w:color="auto" w:fill="E6E6E6"/>
            <w:tcMar>
              <w:top w:w="55" w:type="dxa"/>
              <w:left w:w="55" w:type="dxa"/>
              <w:bottom w:w="55" w:type="dxa"/>
              <w:right w:w="55" w:type="dxa"/>
            </w:tcMar>
            <w:vAlign w:val="center"/>
          </w:tcPr>
          <w:p w:rsidR="0017326B" w:rsidRDefault="00EF76AE">
            <w:pPr>
              <w:pStyle w:val="TableContents"/>
              <w:jc w:val="center"/>
              <w:rPr>
                <w:rFonts w:ascii="Arial" w:hAnsi="Arial"/>
                <w:b/>
                <w:bCs/>
              </w:rPr>
            </w:pPr>
            <w:r>
              <w:rPr>
                <w:rFonts w:ascii="Arial" w:hAnsi="Arial"/>
                <w:b/>
                <w:bCs/>
              </w:rPr>
              <w:t>Après-midi</w:t>
            </w:r>
          </w:p>
        </w:tc>
        <w:tc>
          <w:tcPr>
            <w:tcW w:w="4684" w:type="dxa"/>
            <w:tcMar>
              <w:top w:w="55" w:type="dxa"/>
              <w:left w:w="55" w:type="dxa"/>
              <w:bottom w:w="55" w:type="dxa"/>
              <w:right w:w="55" w:type="dxa"/>
            </w:tcMar>
          </w:tcPr>
          <w:p w:rsidR="0017326B" w:rsidRDefault="0017326B">
            <w:pPr>
              <w:pStyle w:val="TableContents"/>
              <w:rPr>
                <w:rFonts w:ascii="Arial" w:hAnsi="Arial"/>
                <w:b/>
                <w:bCs/>
              </w:rPr>
            </w:pPr>
          </w:p>
        </w:tc>
      </w:tr>
      <w:tr w:rsidR="0017326B" w:rsidTr="0017326B">
        <w:tblPrEx>
          <w:tblCellMar>
            <w:top w:w="0" w:type="dxa"/>
            <w:bottom w:w="0" w:type="dxa"/>
          </w:tblCellMar>
        </w:tblPrEx>
        <w:tc>
          <w:tcPr>
            <w:tcW w:w="2775" w:type="dxa"/>
            <w:tcBorders>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jc w:val="right"/>
              <w:rPr>
                <w:rFonts w:ascii="Arial" w:hAnsi="Arial"/>
                <w:b/>
                <w:bCs/>
              </w:rPr>
            </w:pPr>
            <w:r>
              <w:rPr>
                <w:rFonts w:ascii="Arial" w:hAnsi="Arial"/>
                <w:b/>
                <w:bCs/>
              </w:rPr>
              <w:t>Lundi</w:t>
            </w: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1364" w:type="dxa"/>
            <w:tcBorders>
              <w:left w:val="single" w:sz="2" w:space="0" w:color="000000"/>
              <w:bottom w:val="single" w:sz="2" w:space="0" w:color="000000"/>
              <w:right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4684" w:type="dxa"/>
            <w:vMerge w:val="restart"/>
            <w:tcBorders>
              <w:top w:val="single" w:sz="2" w:space="0" w:color="000000"/>
              <w:left w:val="single" w:sz="2" w:space="0" w:color="000000"/>
              <w:bottom w:val="single" w:sz="2" w:space="0" w:color="000000"/>
              <w:right w:val="single" w:sz="2" w:space="0" w:color="000000"/>
            </w:tcBorders>
            <w:shd w:val="clear" w:color="auto" w:fill="E6E6E6"/>
            <w:tcMar>
              <w:top w:w="55" w:type="dxa"/>
              <w:left w:w="55" w:type="dxa"/>
              <w:bottom w:w="55" w:type="dxa"/>
              <w:right w:w="55" w:type="dxa"/>
            </w:tcMar>
          </w:tcPr>
          <w:p w:rsidR="0017326B" w:rsidRDefault="00EF76AE">
            <w:pPr>
              <w:pStyle w:val="TableContents"/>
              <w:shd w:val="clear" w:color="auto" w:fill="E6E6E6"/>
              <w:jc w:val="right"/>
              <w:rPr>
                <w:rFonts w:ascii="Arial" w:hAnsi="Arial"/>
                <w:b/>
                <w:bCs/>
              </w:rPr>
            </w:pPr>
            <w:r>
              <w:rPr>
                <w:rFonts w:ascii="Arial" w:hAnsi="Arial"/>
                <w:b/>
                <w:bCs/>
                <w:sz w:val="20"/>
              </w:rPr>
              <w:t>Estimation du temps de travail syndical hebdomadaire hors permanence s</w:t>
            </w:r>
            <w:r>
              <w:rPr>
                <w:rFonts w:ascii="Arial" w:hAnsi="Arial"/>
                <w:b/>
                <w:bCs/>
              </w:rPr>
              <w:t xml:space="preserve">                                   </w:t>
            </w:r>
          </w:p>
        </w:tc>
      </w:tr>
      <w:tr w:rsidR="0017326B" w:rsidTr="0017326B">
        <w:tblPrEx>
          <w:tblCellMar>
            <w:top w:w="0" w:type="dxa"/>
            <w:bottom w:w="0" w:type="dxa"/>
          </w:tblCellMar>
        </w:tblPrEx>
        <w:tc>
          <w:tcPr>
            <w:tcW w:w="2775" w:type="dxa"/>
            <w:tcBorders>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jc w:val="right"/>
              <w:rPr>
                <w:rFonts w:ascii="Arial" w:hAnsi="Arial"/>
                <w:b/>
                <w:bCs/>
              </w:rPr>
            </w:pPr>
            <w:r>
              <w:rPr>
                <w:rFonts w:ascii="Arial" w:hAnsi="Arial"/>
                <w:b/>
                <w:bCs/>
              </w:rPr>
              <w:t>Mardi</w:t>
            </w: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4684" w:type="dxa"/>
            <w:vMerge/>
            <w:tcBorders>
              <w:top w:val="single" w:sz="2" w:space="0" w:color="000000"/>
              <w:left w:val="single" w:sz="2" w:space="0" w:color="000000"/>
              <w:bottom w:val="single" w:sz="2" w:space="0" w:color="000000"/>
              <w:right w:val="single" w:sz="2" w:space="0" w:color="000000"/>
            </w:tcBorders>
            <w:shd w:val="clear" w:color="auto" w:fill="E6E6E6"/>
            <w:tcMar>
              <w:top w:w="55" w:type="dxa"/>
              <w:left w:w="55" w:type="dxa"/>
              <w:bottom w:w="55" w:type="dxa"/>
              <w:right w:w="55" w:type="dxa"/>
            </w:tcMar>
          </w:tcPr>
          <w:p w:rsidR="0017326B" w:rsidRDefault="0017326B"/>
        </w:tc>
      </w:tr>
      <w:tr w:rsidR="0017326B" w:rsidTr="0017326B">
        <w:tblPrEx>
          <w:tblCellMar>
            <w:top w:w="0" w:type="dxa"/>
            <w:bottom w:w="0" w:type="dxa"/>
          </w:tblCellMar>
        </w:tblPrEx>
        <w:tc>
          <w:tcPr>
            <w:tcW w:w="2775" w:type="dxa"/>
            <w:tcBorders>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jc w:val="right"/>
              <w:rPr>
                <w:rFonts w:ascii="Arial" w:hAnsi="Arial"/>
                <w:b/>
                <w:bCs/>
              </w:rPr>
            </w:pPr>
            <w:r>
              <w:rPr>
                <w:rFonts w:ascii="Arial" w:hAnsi="Arial"/>
                <w:b/>
                <w:bCs/>
              </w:rPr>
              <w:t>Mercredi</w:t>
            </w: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4684" w:type="dxa"/>
            <w:vMerge w:val="restart"/>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17326B" w:rsidRDefault="00EF76AE">
            <w:pPr>
              <w:pStyle w:val="TableContents"/>
              <w:jc w:val="right"/>
              <w:rPr>
                <w:rFonts w:ascii="Arial" w:hAnsi="Arial"/>
                <w:b/>
                <w:bCs/>
              </w:rPr>
            </w:pPr>
            <w:r>
              <w:rPr>
                <w:rFonts w:ascii="Arial" w:hAnsi="Arial"/>
                <w:b/>
                <w:bCs/>
              </w:rPr>
              <w:t>…................ heures</w:t>
            </w:r>
          </w:p>
        </w:tc>
      </w:tr>
      <w:tr w:rsidR="0017326B" w:rsidTr="0017326B">
        <w:tblPrEx>
          <w:tblCellMar>
            <w:top w:w="0" w:type="dxa"/>
            <w:bottom w:w="0" w:type="dxa"/>
          </w:tblCellMar>
        </w:tblPrEx>
        <w:tc>
          <w:tcPr>
            <w:tcW w:w="2775" w:type="dxa"/>
            <w:tcBorders>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jc w:val="right"/>
              <w:rPr>
                <w:rFonts w:ascii="Arial" w:hAnsi="Arial"/>
                <w:b/>
                <w:bCs/>
              </w:rPr>
            </w:pPr>
            <w:r>
              <w:rPr>
                <w:rFonts w:ascii="Arial" w:hAnsi="Arial"/>
                <w:b/>
                <w:bCs/>
              </w:rPr>
              <w:t>Jeudi</w:t>
            </w: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4684" w:type="dxa"/>
            <w:vMerge/>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17326B" w:rsidRDefault="0017326B"/>
        </w:tc>
      </w:tr>
      <w:tr w:rsidR="0017326B" w:rsidTr="0017326B">
        <w:tblPrEx>
          <w:tblCellMar>
            <w:top w:w="0" w:type="dxa"/>
            <w:bottom w:w="0" w:type="dxa"/>
          </w:tblCellMar>
        </w:tblPrEx>
        <w:tc>
          <w:tcPr>
            <w:tcW w:w="2775" w:type="dxa"/>
            <w:tcBorders>
              <w:left w:val="single" w:sz="2" w:space="0" w:color="000000"/>
              <w:bottom w:val="single" w:sz="2" w:space="0" w:color="000000"/>
            </w:tcBorders>
            <w:shd w:val="clear" w:color="auto" w:fill="E6E6E6"/>
            <w:tcMar>
              <w:top w:w="55" w:type="dxa"/>
              <w:left w:w="55" w:type="dxa"/>
              <w:bottom w:w="55" w:type="dxa"/>
              <w:right w:w="55" w:type="dxa"/>
            </w:tcMar>
          </w:tcPr>
          <w:p w:rsidR="0017326B" w:rsidRDefault="00EF76AE">
            <w:pPr>
              <w:pStyle w:val="TableContents"/>
              <w:jc w:val="right"/>
              <w:rPr>
                <w:rFonts w:ascii="Arial" w:hAnsi="Arial"/>
                <w:b/>
                <w:bCs/>
              </w:rPr>
            </w:pPr>
            <w:r>
              <w:rPr>
                <w:rFonts w:ascii="Arial" w:hAnsi="Arial"/>
                <w:b/>
                <w:bCs/>
              </w:rPr>
              <w:t>Vendredi</w:t>
            </w:r>
          </w:p>
        </w:tc>
        <w:tc>
          <w:tcPr>
            <w:tcW w:w="1364" w:type="dxa"/>
            <w:tcBorders>
              <w:left w:val="single" w:sz="2" w:space="0" w:color="000000"/>
              <w:bottom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136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7326B" w:rsidRDefault="0017326B">
            <w:pPr>
              <w:pStyle w:val="TableContents"/>
              <w:rPr>
                <w:rFonts w:ascii="Arial" w:hAnsi="Arial"/>
                <w:b/>
                <w:bCs/>
              </w:rPr>
            </w:pPr>
          </w:p>
        </w:tc>
        <w:tc>
          <w:tcPr>
            <w:tcW w:w="4684" w:type="dxa"/>
            <w:tcMar>
              <w:top w:w="55" w:type="dxa"/>
              <w:left w:w="55" w:type="dxa"/>
              <w:bottom w:w="55" w:type="dxa"/>
              <w:right w:w="55" w:type="dxa"/>
            </w:tcMar>
          </w:tcPr>
          <w:p w:rsidR="0017326B" w:rsidRDefault="0017326B">
            <w:pPr>
              <w:pStyle w:val="TableContents"/>
              <w:rPr>
                <w:rFonts w:ascii="Arial" w:hAnsi="Arial"/>
                <w:b/>
                <w:bCs/>
              </w:rPr>
            </w:pPr>
          </w:p>
        </w:tc>
      </w:tr>
    </w:tbl>
    <w:p w:rsidR="0017326B" w:rsidRDefault="00EF76AE">
      <w:pPr>
        <w:pStyle w:val="Textbody"/>
        <w:spacing w:after="283"/>
        <w:ind w:left="0" w:right="0"/>
        <w:rPr>
          <w:rFonts w:ascii="Arial" w:hAnsi="Arial"/>
          <w:sz w:val="22"/>
          <w:szCs w:val="22"/>
        </w:rPr>
      </w:pPr>
      <w:r>
        <w:rPr>
          <w:rFonts w:ascii="Arial" w:hAnsi="Arial"/>
          <w:sz w:val="22"/>
          <w:szCs w:val="22"/>
        </w:rPr>
        <w:tab/>
        <w:t>Temps de déplacement pour se rendre à la permanence syndicale :…………………….</w:t>
      </w:r>
    </w:p>
    <w:tbl>
      <w:tblPr>
        <w:tblW w:w="10205" w:type="dxa"/>
        <w:tblInd w:w="45" w:type="dxa"/>
        <w:tblLayout w:type="fixed"/>
        <w:tblCellMar>
          <w:left w:w="10" w:type="dxa"/>
          <w:right w:w="10" w:type="dxa"/>
        </w:tblCellMar>
        <w:tblLook w:val="04A0"/>
      </w:tblPr>
      <w:tblGrid>
        <w:gridCol w:w="1888"/>
        <w:gridCol w:w="5475"/>
        <w:gridCol w:w="2842"/>
      </w:tblGrid>
      <w:tr w:rsidR="0017326B" w:rsidTr="0017326B">
        <w:tblPrEx>
          <w:tblCellMar>
            <w:top w:w="0" w:type="dxa"/>
            <w:bottom w:w="0" w:type="dxa"/>
          </w:tblCellMar>
        </w:tblPrEx>
        <w:tc>
          <w:tcPr>
            <w:tcW w:w="1888" w:type="dxa"/>
            <w:tcBorders>
              <w:top w:val="threeDEngrave" w:sz="6" w:space="0" w:color="000000"/>
              <w:left w:val="threeDEngrave" w:sz="6" w:space="0" w:color="000000"/>
              <w:bottom w:val="threeDEngrave" w:sz="6" w:space="0" w:color="000000"/>
            </w:tcBorders>
            <w:tcMar>
              <w:top w:w="55" w:type="dxa"/>
              <w:left w:w="55" w:type="dxa"/>
              <w:bottom w:w="55" w:type="dxa"/>
              <w:right w:w="55" w:type="dxa"/>
            </w:tcMar>
            <w:vAlign w:val="center"/>
          </w:tcPr>
          <w:p w:rsidR="0017326B" w:rsidRDefault="00EF76AE">
            <w:pPr>
              <w:pStyle w:val="TableContents"/>
              <w:jc w:val="center"/>
              <w:rPr>
                <w:rFonts w:ascii="Arial" w:hAnsi="Arial"/>
                <w:b/>
                <w:bCs/>
              </w:rPr>
            </w:pPr>
            <w:r>
              <w:rPr>
                <w:rFonts w:ascii="Arial" w:hAnsi="Arial"/>
                <w:b/>
                <w:bCs/>
              </w:rPr>
              <w:t>Missions</w:t>
            </w:r>
          </w:p>
          <w:p w:rsidR="0017326B" w:rsidRDefault="00EF76AE">
            <w:pPr>
              <w:pStyle w:val="TableContents"/>
              <w:jc w:val="center"/>
              <w:rPr>
                <w:rFonts w:ascii="Arial" w:hAnsi="Arial"/>
                <w:b/>
                <w:bCs/>
              </w:rPr>
            </w:pPr>
            <w:r>
              <w:rPr>
                <w:rFonts w:ascii="Arial" w:hAnsi="Arial"/>
                <w:b/>
                <w:bCs/>
              </w:rPr>
              <w:t>attribuées</w:t>
            </w:r>
          </w:p>
        </w:tc>
        <w:tc>
          <w:tcPr>
            <w:tcW w:w="5475" w:type="dxa"/>
            <w:tcBorders>
              <w:top w:val="threeDEngrave" w:sz="6" w:space="0" w:color="000000"/>
              <w:left w:val="threeDEngrave" w:sz="6" w:space="0" w:color="000000"/>
              <w:bottom w:val="threeDEngrave" w:sz="6" w:space="0" w:color="000000"/>
            </w:tcBorders>
            <w:tcMar>
              <w:top w:w="55" w:type="dxa"/>
              <w:left w:w="55" w:type="dxa"/>
              <w:bottom w:w="55" w:type="dxa"/>
              <w:right w:w="55" w:type="dxa"/>
            </w:tcMar>
            <w:vAlign w:val="center"/>
          </w:tcPr>
          <w:p w:rsidR="0017326B" w:rsidRDefault="00EF76AE">
            <w:pPr>
              <w:pStyle w:val="TableContents"/>
              <w:jc w:val="center"/>
              <w:rPr>
                <w:rFonts w:ascii="Arial" w:hAnsi="Arial"/>
                <w:b/>
                <w:bCs/>
              </w:rPr>
            </w:pPr>
            <w:r>
              <w:rPr>
                <w:rFonts w:ascii="Arial" w:hAnsi="Arial"/>
                <w:b/>
                <w:bCs/>
              </w:rPr>
              <w:t>Plan de travail envisagé sur l'année scolaire</w:t>
            </w:r>
          </w:p>
        </w:tc>
        <w:tc>
          <w:tcPr>
            <w:tcW w:w="2842" w:type="dxa"/>
            <w:tcBorders>
              <w:top w:val="threeDEngrave" w:sz="6" w:space="0" w:color="000000"/>
              <w:left w:val="threeDEngrave" w:sz="6" w:space="0" w:color="000000"/>
              <w:bottom w:val="threeDEngrave" w:sz="6" w:space="0" w:color="000000"/>
              <w:right w:val="threeDEngrave" w:sz="6" w:space="0" w:color="000000"/>
            </w:tcBorders>
            <w:tcMar>
              <w:top w:w="55" w:type="dxa"/>
              <w:left w:w="55" w:type="dxa"/>
              <w:bottom w:w="55" w:type="dxa"/>
              <w:right w:w="55" w:type="dxa"/>
            </w:tcMar>
            <w:vAlign w:val="center"/>
          </w:tcPr>
          <w:p w:rsidR="0017326B" w:rsidRDefault="00EF76AE">
            <w:pPr>
              <w:pStyle w:val="TableContents"/>
              <w:jc w:val="center"/>
              <w:rPr>
                <w:rFonts w:ascii="Arial" w:hAnsi="Arial"/>
                <w:b/>
                <w:bCs/>
              </w:rPr>
            </w:pPr>
            <w:r>
              <w:rPr>
                <w:rFonts w:ascii="Arial" w:hAnsi="Arial"/>
                <w:b/>
                <w:bCs/>
              </w:rPr>
              <w:t>Contact</w:t>
            </w:r>
            <w:r>
              <w:rPr>
                <w:rFonts w:ascii="Arial" w:hAnsi="Arial"/>
                <w:b/>
                <w:bCs/>
              </w:rPr>
              <w:t xml:space="preserve"> avec la CE sur chacun de ces dossiers</w:t>
            </w: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r w:rsidR="0017326B" w:rsidTr="0017326B">
        <w:tblPrEx>
          <w:tblCellMar>
            <w:top w:w="0" w:type="dxa"/>
            <w:bottom w:w="0" w:type="dxa"/>
          </w:tblCellMar>
        </w:tblPrEx>
        <w:tc>
          <w:tcPr>
            <w:tcW w:w="1888"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p w:rsidR="0017326B" w:rsidRDefault="0017326B">
            <w:pPr>
              <w:pStyle w:val="TableContents"/>
            </w:pPr>
          </w:p>
          <w:p w:rsidR="0017326B" w:rsidRDefault="0017326B">
            <w:pPr>
              <w:pStyle w:val="TableContents"/>
            </w:pPr>
          </w:p>
        </w:tc>
        <w:tc>
          <w:tcPr>
            <w:tcW w:w="5475" w:type="dxa"/>
            <w:tcBorders>
              <w:left w:val="threeDEngrave" w:sz="6" w:space="0" w:color="000000"/>
              <w:bottom w:val="threeDEngrave" w:sz="6" w:space="0" w:color="000000"/>
            </w:tcBorders>
            <w:tcMar>
              <w:top w:w="55" w:type="dxa"/>
              <w:left w:w="55" w:type="dxa"/>
              <w:bottom w:w="55" w:type="dxa"/>
              <w:right w:w="55" w:type="dxa"/>
            </w:tcMar>
          </w:tcPr>
          <w:p w:rsidR="0017326B" w:rsidRDefault="0017326B">
            <w:pPr>
              <w:pStyle w:val="TableContents"/>
            </w:pPr>
          </w:p>
        </w:tc>
        <w:tc>
          <w:tcPr>
            <w:tcW w:w="2842" w:type="dxa"/>
            <w:tcBorders>
              <w:left w:val="threeDEngrave" w:sz="6" w:space="0" w:color="000000"/>
              <w:bottom w:val="threeDEngrave" w:sz="6" w:space="0" w:color="000000"/>
              <w:right w:val="threeDEngrave" w:sz="6" w:space="0" w:color="000000"/>
            </w:tcBorders>
            <w:tcMar>
              <w:top w:w="55" w:type="dxa"/>
              <w:left w:w="55" w:type="dxa"/>
              <w:bottom w:w="55" w:type="dxa"/>
              <w:right w:w="55" w:type="dxa"/>
            </w:tcMar>
          </w:tcPr>
          <w:p w:rsidR="0017326B" w:rsidRDefault="0017326B">
            <w:pPr>
              <w:pStyle w:val="TableContents"/>
            </w:pPr>
          </w:p>
        </w:tc>
      </w:tr>
    </w:tbl>
    <w:p w:rsidR="0017326B" w:rsidRDefault="00EF76AE" w:rsidP="003C0EE0">
      <w:pPr>
        <w:pStyle w:val="Textbody"/>
        <w:ind w:left="0"/>
        <w:rPr>
          <w:rFonts w:ascii="Arial" w:hAnsi="Arial"/>
          <w:sz w:val="24"/>
          <w:szCs w:val="24"/>
        </w:rPr>
      </w:pPr>
      <w:r>
        <w:rPr>
          <w:rFonts w:ascii="Arial" w:hAnsi="Arial"/>
          <w:sz w:val="24"/>
          <w:szCs w:val="24"/>
        </w:rPr>
        <w:tab/>
        <w:t>Pour chacune des missions confiées, envisager de faire un bilan d’étape deux</w:t>
      </w:r>
      <w:r>
        <w:rPr>
          <w:rFonts w:ascii="Arial" w:hAnsi="Arial"/>
          <w:sz w:val="24"/>
          <w:szCs w:val="24"/>
        </w:rPr>
        <w:t xml:space="preserve"> fois dans l’année (décembre et juin)</w:t>
      </w:r>
    </w:p>
    <w:p w:rsidR="0017326B" w:rsidRDefault="00EF76AE" w:rsidP="003C0EE0">
      <w:pPr>
        <w:pStyle w:val="Textbody"/>
        <w:rPr>
          <w:rFonts w:ascii="Arial" w:hAnsi="Arial"/>
          <w:sz w:val="24"/>
          <w:szCs w:val="24"/>
        </w:rPr>
      </w:pPr>
      <w:r>
        <w:rPr>
          <w:rFonts w:ascii="Arial" w:hAnsi="Arial"/>
          <w:sz w:val="24"/>
          <w:szCs w:val="24"/>
        </w:rPr>
        <w:tab/>
      </w:r>
      <w:r w:rsidRPr="003C0EE0">
        <w:rPr>
          <w:rFonts w:ascii="Arial" w:hAnsi="Arial"/>
          <w:b/>
          <w:sz w:val="24"/>
          <w:szCs w:val="24"/>
          <w:u w:val="single"/>
        </w:rPr>
        <w:t>Besoins matériels pour remplir les missions</w:t>
      </w:r>
      <w:r>
        <w:rPr>
          <w:rFonts w:ascii="Arial" w:hAnsi="Arial"/>
          <w:sz w:val="24"/>
          <w:szCs w:val="24"/>
        </w:rPr>
        <w:t> :</w:t>
      </w:r>
    </w:p>
    <w:p w:rsidR="003C0EE0" w:rsidRDefault="003C0EE0">
      <w:pPr>
        <w:pStyle w:val="Textbody"/>
        <w:spacing w:after="283"/>
        <w:rPr>
          <w:rFonts w:ascii="Arial" w:hAnsi="Arial"/>
          <w:sz w:val="24"/>
          <w:szCs w:val="24"/>
        </w:rPr>
      </w:pPr>
    </w:p>
    <w:p w:rsidR="0017326B" w:rsidRDefault="00EF76AE" w:rsidP="003C0EE0">
      <w:pPr>
        <w:pStyle w:val="Textbodyindent"/>
        <w:tabs>
          <w:tab w:val="left" w:pos="142"/>
          <w:tab w:val="left" w:pos="284"/>
        </w:tabs>
        <w:spacing w:line="200" w:lineRule="atLeast"/>
        <w:ind w:left="0" w:right="-300"/>
        <w:jc w:val="center"/>
        <w:rPr>
          <w:rFonts w:ascii="Arial" w:hAnsi="Arial" w:cs="Times"/>
          <w:szCs w:val="24"/>
        </w:rPr>
      </w:pPr>
      <w:r>
        <w:rPr>
          <w:rFonts w:ascii="Arial" w:hAnsi="Arial" w:cs="Times"/>
          <w:szCs w:val="24"/>
        </w:rPr>
        <w:t xml:space="preserve">A Bordeaux, le </w:t>
      </w:r>
      <w:r w:rsidR="003C0EE0">
        <w:rPr>
          <w:rFonts w:ascii="Arial" w:hAnsi="Arial" w:cs="Times"/>
          <w:szCs w:val="24"/>
        </w:rPr>
        <w:t>25 Août</w:t>
      </w:r>
      <w:r>
        <w:rPr>
          <w:rFonts w:ascii="Arial" w:hAnsi="Arial" w:cs="Times"/>
          <w:szCs w:val="24"/>
        </w:rPr>
        <w:t xml:space="preserve"> 2014,</w:t>
      </w:r>
      <w:r>
        <w:rPr>
          <w:rFonts w:ascii="Arial" w:hAnsi="Arial" w:cs="Times"/>
          <w:szCs w:val="24"/>
        </w:rPr>
        <w:tab/>
      </w:r>
      <w:r>
        <w:rPr>
          <w:rFonts w:ascii="Arial" w:hAnsi="Arial" w:cs="Times"/>
          <w:szCs w:val="24"/>
        </w:rPr>
        <w:tab/>
      </w:r>
    </w:p>
    <w:p w:rsidR="0017326B" w:rsidRDefault="00EF76AE" w:rsidP="003C0EE0">
      <w:pPr>
        <w:pStyle w:val="Textbodyindent"/>
        <w:tabs>
          <w:tab w:val="left" w:pos="142"/>
          <w:tab w:val="left" w:pos="284"/>
        </w:tabs>
        <w:spacing w:line="200" w:lineRule="atLeast"/>
        <w:ind w:left="0" w:right="-13"/>
        <w:jc w:val="center"/>
        <w:rPr>
          <w:rFonts w:ascii="Arial" w:hAnsi="Arial" w:cs="Times"/>
          <w:szCs w:val="24"/>
        </w:rPr>
      </w:pPr>
      <w:r>
        <w:rPr>
          <w:rFonts w:ascii="Arial" w:hAnsi="Arial" w:cs="Times"/>
          <w:szCs w:val="24"/>
        </w:rPr>
        <w:t xml:space="preserve">Signature du déchargé </w:t>
      </w:r>
      <w:r>
        <w:rPr>
          <w:rFonts w:ascii="Arial" w:hAnsi="Arial" w:cs="Times"/>
          <w:szCs w:val="24"/>
        </w:rPr>
        <w:tab/>
      </w:r>
      <w:r>
        <w:rPr>
          <w:rFonts w:ascii="Arial" w:hAnsi="Arial" w:cs="Times"/>
          <w:szCs w:val="24"/>
        </w:rPr>
        <w:tab/>
      </w:r>
      <w:r>
        <w:rPr>
          <w:rFonts w:ascii="Arial" w:hAnsi="Arial" w:cs="Times"/>
          <w:szCs w:val="24"/>
        </w:rPr>
        <w:tab/>
      </w:r>
      <w:r>
        <w:rPr>
          <w:rFonts w:ascii="Arial" w:hAnsi="Arial" w:cs="Times"/>
          <w:szCs w:val="24"/>
        </w:rPr>
        <w:tab/>
      </w:r>
      <w:r>
        <w:rPr>
          <w:rFonts w:ascii="Arial" w:hAnsi="Arial" w:cs="Times"/>
          <w:szCs w:val="24"/>
        </w:rPr>
        <w:tab/>
        <w:t>Signature du référent de la CE</w:t>
      </w:r>
    </w:p>
    <w:p w:rsidR="0017326B" w:rsidRDefault="00EF76AE">
      <w:pPr>
        <w:pStyle w:val="Textbodyindent"/>
        <w:tabs>
          <w:tab w:val="left" w:pos="142"/>
          <w:tab w:val="left" w:pos="284"/>
        </w:tabs>
        <w:spacing w:before="170" w:line="200" w:lineRule="atLeast"/>
        <w:ind w:left="0" w:right="-300"/>
        <w:rPr>
          <w:rFonts w:ascii="Times New Roman" w:hAnsi="Times New Roman" w:cs="Times New Roman"/>
          <w:vanish/>
          <w:sz w:val="20"/>
        </w:rPr>
      </w:pPr>
      <w:bookmarkStart w:id="0" w:name="_PictureBullets"/>
      <w:r>
        <w:rPr>
          <w:rFonts w:ascii="Times New Roman" w:hAnsi="Times New Roman" w:cs="Times New Roman"/>
          <w:noProof/>
          <w:vanish/>
          <w:sz w:val="20"/>
        </w:rPr>
        <w:drawing>
          <wp:inline distT="0" distB="0" distL="0" distR="0">
            <wp:extent cx="142920" cy="142920"/>
            <wp:effectExtent l="0" t="0" r="0" b="0"/>
            <wp:docPr id="1" name="image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alphaModFix/>
                      <a:lum/>
                    </a:blip>
                    <a:srcRect/>
                    <a:stretch>
                      <a:fillRect/>
                    </a:stretch>
                  </pic:blipFill>
                  <pic:spPr>
                    <a:xfrm>
                      <a:off x="0" y="0"/>
                      <a:ext cx="142920" cy="142920"/>
                    </a:xfrm>
                    <a:prstGeom prst="rect">
                      <a:avLst/>
                    </a:prstGeom>
                    <a:solidFill>
                      <a:srgbClr val="FFFFFF"/>
                    </a:solidFill>
                    <a:ln>
                      <a:noFill/>
                      <a:prstDash/>
                    </a:ln>
                  </pic:spPr>
                </pic:pic>
              </a:graphicData>
            </a:graphic>
          </wp:inline>
        </w:drawing>
      </w:r>
      <w:bookmarkEnd w:id="0"/>
    </w:p>
    <w:sectPr w:rsidR="0017326B" w:rsidSect="003C0EE0">
      <w:footerReference w:type="default" r:id="rId9"/>
      <w:pgSz w:w="11905" w:h="16837"/>
      <w:pgMar w:top="284" w:right="850" w:bottom="723" w:left="850" w:header="720" w:footer="15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6AE" w:rsidRDefault="00EF76AE" w:rsidP="0017326B">
      <w:r>
        <w:separator/>
      </w:r>
    </w:p>
  </w:endnote>
  <w:endnote w:type="continuationSeparator" w:id="0">
    <w:p w:rsidR="00EF76AE" w:rsidRDefault="00EF76AE" w:rsidP="0017326B">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etaPlusNormal, 'Times New Roma">
    <w:altName w:val="Times New Roman"/>
    <w:charset w:val="00"/>
    <w:family w:val="auto"/>
    <w:pitch w:val="default"/>
    <w:sig w:usb0="00000000" w:usb1="00000000" w:usb2="00000000" w:usb3="00000000" w:csb0="00000000" w:csb1="00000000"/>
  </w:font>
  <w:font w:name="TarzanaNarrow, 'Times New Roman">
    <w:charset w:val="00"/>
    <w:family w:val="auto"/>
    <w:pitch w:val="default"/>
    <w:sig w:usb0="00000000" w:usb1="00000000" w:usb2="00000000" w:usb3="00000000" w:csb0="00000000"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Futura">
    <w:charset w:val="00"/>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26B" w:rsidRDefault="0017326B">
    <w:pPr>
      <w:pStyle w:val="Footer"/>
      <w:jc w:val="right"/>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6AE" w:rsidRDefault="00EF76AE" w:rsidP="0017326B">
      <w:r w:rsidRPr="0017326B">
        <w:rPr>
          <w:color w:val="000000"/>
        </w:rPr>
        <w:ptab w:relativeTo="margin" w:alignment="center" w:leader="none"/>
      </w:r>
    </w:p>
  </w:footnote>
  <w:footnote w:type="continuationSeparator" w:id="0">
    <w:p w:rsidR="00EF76AE" w:rsidRDefault="00EF76AE" w:rsidP="00173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45pt;height:7.45pt" o:bullet="t">
        <v:imagedata r:id="rId1" o:title=""/>
      </v:shape>
    </w:pict>
  </w:numPicBullet>
  <w:abstractNum w:abstractNumId="0">
    <w:nsid w:val="21B960B8"/>
    <w:multiLevelType w:val="multilevel"/>
    <w:tmpl w:val="A21C7A06"/>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36AC234C"/>
    <w:multiLevelType w:val="multilevel"/>
    <w:tmpl w:val="8D9877E2"/>
    <w:styleLink w:val="WW8Num3"/>
    <w:lvl w:ilvl="0">
      <w:start w:val="1"/>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PicBulletId w:val="0"/>
      <w:lvlJc w:val="left"/>
      <w:rPr>
        <w:rFonts w:hAnsi="Symbol" w:hint="default"/>
        <w:sz w:val="15"/>
      </w:rPr>
    </w:lvl>
  </w:abstractNum>
  <w:abstractNum w:abstractNumId="2">
    <w:nsid w:val="603A633A"/>
    <w:multiLevelType w:val="multilevel"/>
    <w:tmpl w:val="0220D56E"/>
    <w:styleLink w:val="WW8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73792B33"/>
    <w:multiLevelType w:val="multilevel"/>
    <w:tmpl w:val="E2186530"/>
    <w:styleLink w:val="Numbering2"/>
    <w:lvl w:ilvl="0">
      <w:start w:val="1"/>
      <w:numFmt w:val="decimal"/>
      <w:lvlText w:val="%1"/>
      <w:lvlJc w:val="left"/>
    </w:lvl>
    <w:lvl w:ilvl="1">
      <w:start w:val="2"/>
      <w:numFmt w:val="decimal"/>
      <w:lvlText w:val="%2"/>
      <w:lvlJc w:val="left"/>
    </w:lvl>
    <w:lvl w:ilvl="2">
      <w:start w:val="3"/>
      <w:numFmt w:val="decimal"/>
      <w:lvlText w:val="%3"/>
      <w:lvlJc w:val="left"/>
    </w:lvl>
    <w:lvl w:ilvl="3">
      <w:start w:val="4"/>
      <w:numFmt w:val="decimal"/>
      <w:lvlText w:val="%4"/>
      <w:lvlJc w:val="left"/>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17326B"/>
    <w:rsid w:val="0017326B"/>
    <w:rsid w:val="003C0EE0"/>
    <w:rsid w:val="00EF76A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ahoma"/>
        <w:kern w:val="3"/>
        <w:sz w:val="24"/>
        <w:szCs w:val="24"/>
        <w:lang w:val="fr-FR" w:eastAsia="fr-FR"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17326B"/>
    <w:pPr>
      <w:widowControl/>
    </w:pPr>
    <w:rPr>
      <w:rFonts w:ascii="Times" w:eastAsia="Times" w:hAnsi="Times" w:cs="Times"/>
      <w:szCs w:val="20"/>
    </w:rPr>
  </w:style>
  <w:style w:type="paragraph" w:customStyle="1" w:styleId="Heading">
    <w:name w:val="Heading"/>
    <w:basedOn w:val="Standard"/>
    <w:next w:val="Textbody"/>
    <w:rsid w:val="0017326B"/>
    <w:pPr>
      <w:keepNext/>
      <w:spacing w:before="240" w:after="120"/>
    </w:pPr>
    <w:rPr>
      <w:rFonts w:ascii="Arial" w:eastAsia="Lucida Sans Unicode" w:hAnsi="Arial" w:cs="Tahoma"/>
      <w:sz w:val="28"/>
      <w:szCs w:val="28"/>
    </w:rPr>
  </w:style>
  <w:style w:type="paragraph" w:customStyle="1" w:styleId="Textbody">
    <w:name w:val="Text body"/>
    <w:basedOn w:val="Standard"/>
    <w:rsid w:val="0017326B"/>
    <w:pPr>
      <w:spacing w:line="260" w:lineRule="atLeast"/>
      <w:ind w:left="85" w:right="85"/>
    </w:pPr>
    <w:rPr>
      <w:rFonts w:ascii="MetaPlusNormal, 'Times New Roma" w:eastAsia="Times New Roman" w:hAnsi="MetaPlusNormal, 'Times New Roma" w:cs="MetaPlusNormal, 'Times New Roma"/>
      <w:sz w:val="28"/>
    </w:rPr>
  </w:style>
  <w:style w:type="paragraph" w:styleId="Liste">
    <w:name w:val="List"/>
    <w:basedOn w:val="Textbody"/>
    <w:rsid w:val="0017326B"/>
  </w:style>
  <w:style w:type="paragraph" w:customStyle="1" w:styleId="Caption">
    <w:name w:val="Caption"/>
    <w:basedOn w:val="Standard"/>
    <w:rsid w:val="0017326B"/>
    <w:pPr>
      <w:suppressLineNumbers/>
      <w:spacing w:before="120" w:after="120"/>
    </w:pPr>
    <w:rPr>
      <w:rFonts w:cs="Tahoma"/>
      <w:i/>
      <w:iCs/>
      <w:szCs w:val="24"/>
    </w:rPr>
  </w:style>
  <w:style w:type="paragraph" w:customStyle="1" w:styleId="Index">
    <w:name w:val="Index"/>
    <w:basedOn w:val="Standard"/>
    <w:rsid w:val="0017326B"/>
    <w:pPr>
      <w:suppressLineNumbers/>
    </w:pPr>
    <w:rPr>
      <w:rFonts w:ascii="Arial" w:hAnsi="Arial" w:cs="Tahoma"/>
    </w:rPr>
  </w:style>
  <w:style w:type="paragraph" w:customStyle="1" w:styleId="Heading2">
    <w:name w:val="Heading 2"/>
    <w:basedOn w:val="Standard"/>
    <w:next w:val="Standard"/>
    <w:rsid w:val="0017326B"/>
    <w:pPr>
      <w:keepNext/>
      <w:spacing w:line="360" w:lineRule="atLeast"/>
      <w:ind w:left="661" w:right="85" w:hanging="576"/>
      <w:jc w:val="both"/>
      <w:outlineLvl w:val="1"/>
    </w:pPr>
    <w:rPr>
      <w:rFonts w:ascii="TarzanaNarrow, 'Times New Roman" w:eastAsia="Times New Roman" w:hAnsi="TarzanaNarrow, 'Times New Roman" w:cs="TarzanaNarrow, 'Times New Roman"/>
      <w:b/>
      <w:sz w:val="22"/>
    </w:rPr>
  </w:style>
  <w:style w:type="paragraph" w:customStyle="1" w:styleId="Titre2">
    <w:name w:val="Titre2"/>
    <w:basedOn w:val="Standard"/>
    <w:next w:val="Textbody"/>
    <w:rsid w:val="0017326B"/>
    <w:pPr>
      <w:keepNext/>
      <w:spacing w:before="240" w:after="120"/>
    </w:pPr>
    <w:rPr>
      <w:rFonts w:ascii="Arial" w:eastAsia="Microsoft YaHei" w:hAnsi="Arial" w:cs="Mangal"/>
      <w:sz w:val="28"/>
      <w:szCs w:val="28"/>
    </w:rPr>
  </w:style>
  <w:style w:type="paragraph" w:customStyle="1" w:styleId="Lgende2">
    <w:name w:val="Légende2"/>
    <w:basedOn w:val="Standard"/>
    <w:rsid w:val="0017326B"/>
    <w:pPr>
      <w:suppressLineNumbers/>
      <w:spacing w:before="120" w:after="120"/>
    </w:pPr>
    <w:rPr>
      <w:rFonts w:cs="Mangal"/>
      <w:i/>
      <w:iCs/>
      <w:szCs w:val="24"/>
    </w:rPr>
  </w:style>
  <w:style w:type="paragraph" w:customStyle="1" w:styleId="Titre1">
    <w:name w:val="Titre1"/>
    <w:basedOn w:val="Standard"/>
    <w:next w:val="Textbody"/>
    <w:rsid w:val="0017326B"/>
    <w:pPr>
      <w:keepNext/>
      <w:spacing w:before="240" w:after="120"/>
    </w:pPr>
    <w:rPr>
      <w:rFonts w:ascii="DejaVu Sans" w:eastAsia="DejaVu Sans" w:hAnsi="DejaVu Sans" w:cs="DejaVu Sans"/>
      <w:sz w:val="28"/>
      <w:szCs w:val="28"/>
    </w:rPr>
  </w:style>
  <w:style w:type="paragraph" w:customStyle="1" w:styleId="Lgende1">
    <w:name w:val="Légende1"/>
    <w:basedOn w:val="Standard"/>
    <w:rsid w:val="0017326B"/>
    <w:pPr>
      <w:suppressLineNumbers/>
      <w:spacing w:before="120" w:after="120"/>
    </w:pPr>
    <w:rPr>
      <w:i/>
      <w:iCs/>
      <w:szCs w:val="24"/>
    </w:rPr>
  </w:style>
  <w:style w:type="paragraph" w:customStyle="1" w:styleId="Rpertoire">
    <w:name w:val="Répertoire"/>
    <w:basedOn w:val="Standard"/>
    <w:rsid w:val="0017326B"/>
    <w:pPr>
      <w:suppressLineNumbers/>
    </w:pPr>
  </w:style>
  <w:style w:type="paragraph" w:customStyle="1" w:styleId="Style1">
    <w:name w:val="Style1"/>
    <w:basedOn w:val="Standard"/>
    <w:rsid w:val="0017326B"/>
    <w:pPr>
      <w:spacing w:before="60"/>
      <w:ind w:left="170" w:right="170"/>
      <w:jc w:val="both"/>
    </w:pPr>
    <w:rPr>
      <w:rFonts w:ascii="Futura" w:eastAsia="Times New Roman" w:hAnsi="Futura" w:cs="Futura"/>
      <w:i/>
      <w:sz w:val="18"/>
    </w:rPr>
  </w:style>
  <w:style w:type="paragraph" w:customStyle="1" w:styleId="Textbodyindent">
    <w:name w:val="Text body indent"/>
    <w:basedOn w:val="Standard"/>
    <w:rsid w:val="0017326B"/>
    <w:pPr>
      <w:spacing w:line="300" w:lineRule="atLeast"/>
      <w:ind w:left="360" w:right="85"/>
      <w:jc w:val="both"/>
    </w:pPr>
    <w:rPr>
      <w:rFonts w:ascii="MetaPlusNormal, 'Times New Roma" w:eastAsia="Times New Roman" w:hAnsi="MetaPlusNormal, 'Times New Roma" w:cs="MetaPlusNormal, 'Times New Roma"/>
    </w:rPr>
  </w:style>
  <w:style w:type="paragraph" w:customStyle="1" w:styleId="Footer">
    <w:name w:val="Footer"/>
    <w:basedOn w:val="Standard"/>
    <w:rsid w:val="0017326B"/>
    <w:pPr>
      <w:suppressLineNumbers/>
      <w:tabs>
        <w:tab w:val="center" w:pos="4986"/>
        <w:tab w:val="right" w:pos="9972"/>
      </w:tabs>
    </w:pPr>
  </w:style>
  <w:style w:type="paragraph" w:customStyle="1" w:styleId="TableContents">
    <w:name w:val="Table Contents"/>
    <w:basedOn w:val="Standard"/>
    <w:rsid w:val="0017326B"/>
    <w:pPr>
      <w:suppressLineNumbers/>
    </w:pPr>
  </w:style>
  <w:style w:type="paragraph" w:customStyle="1" w:styleId="TableHeading">
    <w:name w:val="Table Heading"/>
    <w:basedOn w:val="TableContents"/>
    <w:rsid w:val="0017326B"/>
    <w:pPr>
      <w:jc w:val="center"/>
    </w:pPr>
    <w:rPr>
      <w:b/>
      <w:bCs/>
    </w:rPr>
  </w:style>
  <w:style w:type="paragraph" w:customStyle="1" w:styleId="Header">
    <w:name w:val="Header"/>
    <w:basedOn w:val="Standard"/>
    <w:rsid w:val="0017326B"/>
    <w:pPr>
      <w:suppressLineNumbers/>
      <w:tabs>
        <w:tab w:val="center" w:pos="4819"/>
        <w:tab w:val="right" w:pos="9638"/>
      </w:tabs>
    </w:pPr>
  </w:style>
  <w:style w:type="paragraph" w:styleId="Textebrut">
    <w:name w:val="Plain Text"/>
    <w:basedOn w:val="Standard"/>
    <w:rsid w:val="0017326B"/>
    <w:pPr>
      <w:suppressAutoHyphens w:val="0"/>
    </w:pPr>
    <w:rPr>
      <w:rFonts w:ascii="Courier New" w:eastAsia="Times New Roman" w:hAnsi="Courier New" w:cs="Courier New"/>
      <w:sz w:val="20"/>
    </w:rPr>
  </w:style>
  <w:style w:type="paragraph" w:customStyle="1" w:styleId="Heading1">
    <w:name w:val="Heading 1"/>
    <w:basedOn w:val="Heading"/>
    <w:next w:val="Textbody"/>
    <w:rsid w:val="0017326B"/>
    <w:pPr>
      <w:outlineLvl w:val="0"/>
    </w:pPr>
    <w:rPr>
      <w:rFonts w:ascii="Times New Roman" w:hAnsi="Times New Roman"/>
      <w:b/>
      <w:bCs/>
      <w:sz w:val="48"/>
      <w:szCs w:val="48"/>
    </w:rPr>
  </w:style>
  <w:style w:type="paragraph" w:customStyle="1" w:styleId="Heading3">
    <w:name w:val="Heading 3"/>
    <w:basedOn w:val="Heading"/>
    <w:next w:val="Textbody"/>
    <w:rsid w:val="0017326B"/>
    <w:pPr>
      <w:outlineLvl w:val="2"/>
    </w:pPr>
    <w:rPr>
      <w:rFonts w:ascii="Times New Roman" w:hAnsi="Times New Roman"/>
      <w:b/>
      <w:bCs/>
    </w:rPr>
  </w:style>
  <w:style w:type="character" w:customStyle="1" w:styleId="WW8Num2z0">
    <w:name w:val="WW8Num2z0"/>
    <w:rsid w:val="0017326B"/>
    <w:rPr>
      <w:rFonts w:ascii="Symbol" w:hAnsi="Symbol" w:cs="Symbol"/>
    </w:rPr>
  </w:style>
  <w:style w:type="character" w:customStyle="1" w:styleId="WW8Num2z1">
    <w:name w:val="WW8Num2z1"/>
    <w:rsid w:val="0017326B"/>
    <w:rPr>
      <w:rFonts w:ascii="Courier New" w:hAnsi="Courier New" w:cs="Courier New"/>
    </w:rPr>
  </w:style>
  <w:style w:type="character" w:customStyle="1" w:styleId="WW8Num2z2">
    <w:name w:val="WW8Num2z2"/>
    <w:rsid w:val="0017326B"/>
    <w:rPr>
      <w:rFonts w:ascii="Wingdings" w:hAnsi="Wingdings" w:cs="Wingdings"/>
    </w:rPr>
  </w:style>
  <w:style w:type="character" w:customStyle="1" w:styleId="WW8Num3z0">
    <w:name w:val="WW8Num3z0"/>
    <w:rsid w:val="0017326B"/>
    <w:rPr>
      <w:rFonts w:ascii="Symbol" w:hAnsi="Symbol" w:cs="Symbol"/>
    </w:rPr>
  </w:style>
  <w:style w:type="character" w:customStyle="1" w:styleId="WW8Num3z1">
    <w:name w:val="WW8Num3z1"/>
    <w:rsid w:val="0017326B"/>
    <w:rPr>
      <w:rFonts w:ascii="Courier New" w:hAnsi="Courier New" w:cs="Courier New"/>
    </w:rPr>
  </w:style>
  <w:style w:type="character" w:customStyle="1" w:styleId="WW8Num3z2">
    <w:name w:val="WW8Num3z2"/>
    <w:rsid w:val="0017326B"/>
    <w:rPr>
      <w:rFonts w:ascii="Wingdings" w:hAnsi="Wingdings" w:cs="Wingdings"/>
    </w:rPr>
  </w:style>
  <w:style w:type="character" w:customStyle="1" w:styleId="WW8Num4z0">
    <w:name w:val="WW8Num4z0"/>
    <w:rsid w:val="0017326B"/>
    <w:rPr>
      <w:rFonts w:ascii="Symbol" w:hAnsi="Symbol" w:cs="Symbol"/>
    </w:rPr>
  </w:style>
  <w:style w:type="character" w:customStyle="1" w:styleId="WW8Num4z1">
    <w:name w:val="WW8Num4z1"/>
    <w:rsid w:val="0017326B"/>
    <w:rPr>
      <w:rFonts w:ascii="Courier New" w:hAnsi="Courier New" w:cs="Courier New"/>
    </w:rPr>
  </w:style>
  <w:style w:type="character" w:customStyle="1" w:styleId="WW8Num4z2">
    <w:name w:val="WW8Num4z2"/>
    <w:rsid w:val="0017326B"/>
    <w:rPr>
      <w:rFonts w:ascii="Wingdings" w:hAnsi="Wingdings" w:cs="Wingdings"/>
    </w:rPr>
  </w:style>
  <w:style w:type="character" w:customStyle="1" w:styleId="WW8Num7z0">
    <w:name w:val="WW8Num7z0"/>
    <w:rsid w:val="0017326B"/>
    <w:rPr>
      <w:rFonts w:ascii="Arial" w:eastAsia="Times New Roman" w:hAnsi="Arial" w:cs="Arial"/>
    </w:rPr>
  </w:style>
  <w:style w:type="character" w:customStyle="1" w:styleId="WW8Num7z1">
    <w:name w:val="WW8Num7z1"/>
    <w:rsid w:val="0017326B"/>
    <w:rPr>
      <w:rFonts w:ascii="Courier New" w:hAnsi="Courier New" w:cs="Courier New"/>
    </w:rPr>
  </w:style>
  <w:style w:type="character" w:customStyle="1" w:styleId="WW8Num7z2">
    <w:name w:val="WW8Num7z2"/>
    <w:rsid w:val="0017326B"/>
    <w:rPr>
      <w:rFonts w:ascii="Wingdings" w:hAnsi="Wingdings" w:cs="Wingdings"/>
    </w:rPr>
  </w:style>
  <w:style w:type="character" w:customStyle="1" w:styleId="WW8Num7z3">
    <w:name w:val="WW8Num7z3"/>
    <w:rsid w:val="0017326B"/>
    <w:rPr>
      <w:rFonts w:ascii="Symbol" w:hAnsi="Symbol" w:cs="Symbol"/>
    </w:rPr>
  </w:style>
  <w:style w:type="character" w:customStyle="1" w:styleId="WW8Num8z0">
    <w:name w:val="WW8Num8z0"/>
    <w:rsid w:val="0017326B"/>
    <w:rPr>
      <w:rFonts w:ascii="Symbol" w:hAnsi="Symbol" w:cs="Symbol"/>
    </w:rPr>
  </w:style>
  <w:style w:type="character" w:customStyle="1" w:styleId="WW8Num8z1">
    <w:name w:val="WW8Num8z1"/>
    <w:rsid w:val="0017326B"/>
    <w:rPr>
      <w:rFonts w:ascii="Courier New" w:hAnsi="Courier New" w:cs="Courier New"/>
    </w:rPr>
  </w:style>
  <w:style w:type="character" w:customStyle="1" w:styleId="WW8Num8z2">
    <w:name w:val="WW8Num8z2"/>
    <w:rsid w:val="0017326B"/>
    <w:rPr>
      <w:rFonts w:ascii="Wingdings" w:hAnsi="Wingdings" w:cs="Wingdings"/>
    </w:rPr>
  </w:style>
  <w:style w:type="character" w:customStyle="1" w:styleId="Policepardfaut2">
    <w:name w:val="Police par défaut2"/>
    <w:rsid w:val="0017326B"/>
  </w:style>
  <w:style w:type="character" w:customStyle="1" w:styleId="Absatz-Standardschriftart">
    <w:name w:val="Absatz-Standardschriftart"/>
    <w:rsid w:val="0017326B"/>
  </w:style>
  <w:style w:type="character" w:customStyle="1" w:styleId="WW-Absatz-Standardschriftart">
    <w:name w:val="WW-Absatz-Standardschriftart"/>
    <w:rsid w:val="0017326B"/>
  </w:style>
  <w:style w:type="character" w:customStyle="1" w:styleId="WW-Absatz-Standardschriftart1">
    <w:name w:val="WW-Absatz-Standardschriftart1"/>
    <w:rsid w:val="0017326B"/>
  </w:style>
  <w:style w:type="character" w:customStyle="1" w:styleId="WW-Absatz-Standardschriftart11">
    <w:name w:val="WW-Absatz-Standardschriftart11"/>
    <w:rsid w:val="0017326B"/>
  </w:style>
  <w:style w:type="character" w:customStyle="1" w:styleId="WW-Absatz-Standardschriftart111">
    <w:name w:val="WW-Absatz-Standardschriftart111"/>
    <w:rsid w:val="0017326B"/>
  </w:style>
  <w:style w:type="character" w:customStyle="1" w:styleId="WW-Absatz-Standardschriftart1111">
    <w:name w:val="WW-Absatz-Standardschriftart1111"/>
    <w:rsid w:val="0017326B"/>
  </w:style>
  <w:style w:type="character" w:customStyle="1" w:styleId="WW-Absatz-Standardschriftart11111">
    <w:name w:val="WW-Absatz-Standardschriftart11111"/>
    <w:rsid w:val="0017326B"/>
  </w:style>
  <w:style w:type="character" w:customStyle="1" w:styleId="WW-Absatz-Standardschriftart111111">
    <w:name w:val="WW-Absatz-Standardschriftart111111"/>
    <w:rsid w:val="0017326B"/>
  </w:style>
  <w:style w:type="character" w:customStyle="1" w:styleId="WW-Absatz-Standardschriftart1111111">
    <w:name w:val="WW-Absatz-Standardschriftart1111111"/>
    <w:rsid w:val="0017326B"/>
  </w:style>
  <w:style w:type="character" w:customStyle="1" w:styleId="WW-Absatz-Standardschriftart11111111">
    <w:name w:val="WW-Absatz-Standardschriftart11111111"/>
    <w:rsid w:val="0017326B"/>
  </w:style>
  <w:style w:type="character" w:customStyle="1" w:styleId="WW-Absatz-Standardschriftart111111111">
    <w:name w:val="WW-Absatz-Standardschriftart111111111"/>
    <w:rsid w:val="0017326B"/>
  </w:style>
  <w:style w:type="character" w:customStyle="1" w:styleId="WW-Absatz-Standardschriftart1111111111">
    <w:name w:val="WW-Absatz-Standardschriftart1111111111"/>
    <w:rsid w:val="0017326B"/>
  </w:style>
  <w:style w:type="character" w:customStyle="1" w:styleId="Policepardfaut1">
    <w:name w:val="Police par défaut1"/>
    <w:rsid w:val="0017326B"/>
  </w:style>
  <w:style w:type="character" w:customStyle="1" w:styleId="NumberingSymbols">
    <w:name w:val="Numbering Symbols"/>
    <w:rsid w:val="0017326B"/>
  </w:style>
  <w:style w:type="character" w:customStyle="1" w:styleId="BulletSymbols">
    <w:name w:val="Bullet Symbols"/>
    <w:rsid w:val="0017326B"/>
    <w:rPr>
      <w:rFonts w:ascii="OpenSymbol" w:eastAsia="OpenSymbol" w:hAnsi="OpenSymbol" w:cs="OpenSymbol"/>
    </w:rPr>
  </w:style>
  <w:style w:type="character" w:customStyle="1" w:styleId="BulletSymbolsuser">
    <w:name w:val="Bullet Symbols (user)"/>
    <w:rsid w:val="0017326B"/>
  </w:style>
  <w:style w:type="numbering" w:customStyle="1" w:styleId="Numbering2">
    <w:name w:val="Numbering 2"/>
    <w:basedOn w:val="Aucuneliste"/>
    <w:rsid w:val="0017326B"/>
    <w:pPr>
      <w:numPr>
        <w:numId w:val="1"/>
      </w:numPr>
    </w:pPr>
  </w:style>
  <w:style w:type="numbering" w:customStyle="1" w:styleId="WW8Num1">
    <w:name w:val="WW8Num1"/>
    <w:basedOn w:val="Aucuneliste"/>
    <w:rsid w:val="0017326B"/>
    <w:pPr>
      <w:numPr>
        <w:numId w:val="2"/>
      </w:numPr>
    </w:pPr>
  </w:style>
  <w:style w:type="numbering" w:customStyle="1" w:styleId="WW8Num2">
    <w:name w:val="WW8Num2"/>
    <w:basedOn w:val="Aucuneliste"/>
    <w:rsid w:val="0017326B"/>
    <w:pPr>
      <w:numPr>
        <w:numId w:val="3"/>
      </w:numPr>
    </w:pPr>
  </w:style>
  <w:style w:type="numbering" w:customStyle="1" w:styleId="WW8Num3">
    <w:name w:val="WW8Num3"/>
    <w:basedOn w:val="Aucuneliste"/>
    <w:rsid w:val="0017326B"/>
    <w:pPr>
      <w:numPr>
        <w:numId w:val="4"/>
      </w:numPr>
    </w:pPr>
  </w:style>
  <w:style w:type="paragraph" w:styleId="Pieddepage">
    <w:name w:val="footer"/>
    <w:basedOn w:val="Normal"/>
    <w:link w:val="PieddepageCar"/>
    <w:uiPriority w:val="99"/>
    <w:semiHidden/>
    <w:unhideWhenUsed/>
    <w:rsid w:val="0017326B"/>
    <w:pPr>
      <w:tabs>
        <w:tab w:val="center" w:pos="4536"/>
        <w:tab w:val="right" w:pos="9072"/>
      </w:tabs>
    </w:pPr>
  </w:style>
  <w:style w:type="character" w:customStyle="1" w:styleId="PieddepageCar">
    <w:name w:val="Pied de page Car"/>
    <w:basedOn w:val="Policepardfaut"/>
    <w:link w:val="Pieddepage"/>
    <w:uiPriority w:val="99"/>
    <w:semiHidden/>
    <w:rsid w:val="0017326B"/>
  </w:style>
  <w:style w:type="paragraph" w:styleId="Textedebulles">
    <w:name w:val="Balloon Text"/>
    <w:basedOn w:val="Normal"/>
    <w:link w:val="TextedebullesCar"/>
    <w:uiPriority w:val="99"/>
    <w:semiHidden/>
    <w:unhideWhenUsed/>
    <w:rsid w:val="003C0EE0"/>
    <w:rPr>
      <w:rFonts w:ascii="Tahoma" w:hAnsi="Tahoma"/>
      <w:sz w:val="16"/>
      <w:szCs w:val="16"/>
    </w:rPr>
  </w:style>
  <w:style w:type="character" w:customStyle="1" w:styleId="TextedebullesCar">
    <w:name w:val="Texte de bulles Car"/>
    <w:basedOn w:val="Policepardfaut"/>
    <w:link w:val="Textedebulles"/>
    <w:uiPriority w:val="99"/>
    <w:semiHidden/>
    <w:rsid w:val="003C0EE0"/>
    <w:rPr>
      <w:rFonts w:ascii="Tahoma" w:hAnsi="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911</TotalTime>
  <Pages>2</Pages>
  <Words>780</Words>
  <Characters>4296</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 entre les permanents fédéraux élus</dc:title>
  <dc:creator>SGEN-CFDT</dc:creator>
  <cp:lastModifiedBy>Alain CANDAU</cp:lastModifiedBy>
  <cp:revision>1</cp:revision>
  <cp:lastPrinted>2014-07-04T09:08:00Z</cp:lastPrinted>
  <dcterms:created xsi:type="dcterms:W3CDTF">2013-09-07T13:57:00Z</dcterms:created>
  <dcterms:modified xsi:type="dcterms:W3CDTF">2014-07-10T21:54:00Z</dcterms:modified>
</cp:coreProperties>
</file>